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471" w:rsidRPr="00005B2B" w:rsidRDefault="00844471" w:rsidP="00005B2B">
      <w:pPr>
        <w:tabs>
          <w:tab w:val="left" w:pos="180"/>
          <w:tab w:val="left" w:pos="270"/>
          <w:tab w:val="left" w:pos="360"/>
        </w:tabs>
        <w:spacing w:after="0" w:line="240" w:lineRule="auto"/>
        <w:jc w:val="center"/>
        <w:rPr>
          <w:rFonts w:asciiTheme="majorBidi" w:hAnsiTheme="majorBidi" w:cstheme="majorBidi"/>
          <w:b/>
          <w:bCs/>
          <w:color w:val="FF0000"/>
          <w:sz w:val="28"/>
          <w:szCs w:val="28"/>
          <w:rtl/>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005B2B">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005B2B" w:rsidRPr="00005B2B" w:rsidRDefault="00005B2B" w:rsidP="00005B2B">
      <w:pPr>
        <w:spacing w:after="0" w:line="240" w:lineRule="auto"/>
        <w:jc w:val="both"/>
        <w:rPr>
          <w:rFonts w:asciiTheme="majorBidi" w:hAnsiTheme="majorBidi" w:cstheme="majorBidi"/>
          <w:b/>
          <w:bCs/>
          <w:sz w:val="28"/>
          <w:szCs w:val="28"/>
          <w:rtl/>
          <w:lang w:bidi="ar-IQ"/>
        </w:rPr>
      </w:pPr>
    </w:p>
    <w:p w:rsidR="00F47974" w:rsidRPr="00F47974" w:rsidRDefault="00005B2B" w:rsidP="00F47974">
      <w:pPr>
        <w:spacing w:after="0" w:line="240" w:lineRule="auto"/>
        <w:jc w:val="center"/>
        <w:rPr>
          <w:rFonts w:asciiTheme="majorBidi" w:hAnsiTheme="majorBidi" w:cs="Sultan Medium" w:hint="cs"/>
          <w:sz w:val="32"/>
          <w:szCs w:val="32"/>
          <w:rtl/>
          <w:lang w:bidi="ar-IQ"/>
        </w:rPr>
      </w:pPr>
      <w:r w:rsidRPr="00F47974">
        <w:rPr>
          <w:rFonts w:asciiTheme="majorBidi" w:hAnsiTheme="majorBidi" w:cs="Sultan Medium"/>
          <w:sz w:val="32"/>
          <w:szCs w:val="32"/>
          <w:rtl/>
          <w:lang w:bidi="ar-IQ"/>
        </w:rPr>
        <w:t>أثر النصوص الدستورية في التنظيم القانوني لحق الملكية الخاصة</w:t>
      </w:r>
    </w:p>
    <w:p w:rsidR="00005B2B" w:rsidRPr="00F47974" w:rsidRDefault="00005B2B" w:rsidP="00F47974">
      <w:pPr>
        <w:spacing w:after="0" w:line="240" w:lineRule="auto"/>
        <w:jc w:val="center"/>
        <w:rPr>
          <w:rFonts w:asciiTheme="majorBidi" w:hAnsiTheme="majorBidi" w:cs="Sultan Medium"/>
          <w:sz w:val="32"/>
          <w:szCs w:val="32"/>
          <w:rtl/>
          <w:lang w:bidi="ar-IQ"/>
        </w:rPr>
      </w:pPr>
      <w:r w:rsidRPr="00F47974">
        <w:rPr>
          <w:rFonts w:asciiTheme="majorBidi" w:hAnsiTheme="majorBidi" w:cs="Sultan Medium"/>
          <w:sz w:val="32"/>
          <w:szCs w:val="32"/>
          <w:rtl/>
          <w:lang w:bidi="ar-IQ"/>
        </w:rPr>
        <w:t>(دراسة مقارنة )</w:t>
      </w:r>
    </w:p>
    <w:p w:rsidR="00005B2B" w:rsidRPr="00005B2B" w:rsidRDefault="00005B2B" w:rsidP="00330F61">
      <w:pPr>
        <w:spacing w:after="0" w:line="240" w:lineRule="auto"/>
        <w:jc w:val="center"/>
        <w:rPr>
          <w:rFonts w:asciiTheme="majorBidi" w:hAnsiTheme="majorBidi" w:cstheme="majorBidi"/>
          <w:b/>
          <w:bCs/>
          <w:sz w:val="28"/>
          <w:szCs w:val="28"/>
          <w:rtl/>
          <w:lang w:bidi="ar-IQ"/>
        </w:rPr>
      </w:pPr>
      <w:r w:rsidRPr="00F47974">
        <w:rPr>
          <w:rFonts w:asciiTheme="majorBidi" w:hAnsiTheme="majorBidi" w:cs="Sultan Medium"/>
          <w:sz w:val="28"/>
          <w:szCs w:val="28"/>
          <w:rtl/>
          <w:lang w:bidi="ar-IQ"/>
        </w:rPr>
        <w:t xml:space="preserve">الباحثة حنين حسن </w:t>
      </w:r>
      <w:proofErr w:type="spellStart"/>
      <w:r w:rsidRPr="00F47974">
        <w:rPr>
          <w:rFonts w:asciiTheme="majorBidi" w:hAnsiTheme="majorBidi" w:cs="Sultan Medium"/>
          <w:sz w:val="28"/>
          <w:szCs w:val="28"/>
          <w:rtl/>
          <w:lang w:bidi="ar-IQ"/>
        </w:rPr>
        <w:t>لايذ</w:t>
      </w:r>
      <w:proofErr w:type="spellEnd"/>
      <w:r w:rsidRPr="00F47974">
        <w:rPr>
          <w:rFonts w:asciiTheme="majorBidi" w:hAnsiTheme="majorBidi" w:cs="Sultan Medium" w:hint="cs"/>
          <w:sz w:val="28"/>
          <w:szCs w:val="28"/>
          <w:rtl/>
          <w:lang w:bidi="ar-IQ"/>
        </w:rPr>
        <w:t xml:space="preserve">                                        </w:t>
      </w:r>
      <w:r w:rsidRPr="00F47974">
        <w:rPr>
          <w:rFonts w:asciiTheme="majorBidi" w:hAnsiTheme="majorBidi" w:cs="Sultan Medium"/>
          <w:sz w:val="28"/>
          <w:szCs w:val="28"/>
          <w:rtl/>
          <w:lang w:bidi="ar-IQ"/>
        </w:rPr>
        <w:t xml:space="preserve">         </w:t>
      </w:r>
      <w:proofErr w:type="spellStart"/>
      <w:r w:rsidRPr="00F47974">
        <w:rPr>
          <w:rFonts w:asciiTheme="majorBidi" w:hAnsiTheme="majorBidi" w:cs="Sultan Medium"/>
          <w:sz w:val="28"/>
          <w:szCs w:val="28"/>
          <w:rtl/>
          <w:lang w:bidi="ar-IQ"/>
        </w:rPr>
        <w:t>ا.م.د.محمد</w:t>
      </w:r>
      <w:proofErr w:type="spellEnd"/>
      <w:r w:rsidRPr="00F47974">
        <w:rPr>
          <w:rFonts w:asciiTheme="majorBidi" w:hAnsiTheme="majorBidi" w:cs="Sultan Medium"/>
          <w:sz w:val="28"/>
          <w:szCs w:val="28"/>
          <w:rtl/>
          <w:lang w:bidi="ar-IQ"/>
        </w:rPr>
        <w:t xml:space="preserve"> نجم جلاب</w:t>
      </w:r>
    </w:p>
    <w:p w:rsidR="00005B2B" w:rsidRPr="00005B2B" w:rsidRDefault="00005B2B" w:rsidP="00005B2B">
      <w:pPr>
        <w:tabs>
          <w:tab w:val="right" w:pos="8306"/>
        </w:tabs>
        <w:bidi w:val="0"/>
        <w:spacing w:after="0" w:line="240" w:lineRule="auto"/>
        <w:jc w:val="center"/>
        <w:rPr>
          <w:rFonts w:asciiTheme="majorBidi" w:hAnsiTheme="majorBidi" w:cstheme="majorBidi"/>
          <w:b/>
          <w:bCs/>
          <w:sz w:val="28"/>
          <w:szCs w:val="28"/>
          <w:lang w:bidi="ar-IQ"/>
        </w:rPr>
      </w:pPr>
      <w:hyperlink r:id="rId9" w:history="1">
        <w:r w:rsidRPr="00005B2B">
          <w:rPr>
            <w:rStyle w:val="Hyperlink"/>
            <w:rFonts w:asciiTheme="majorBidi" w:hAnsiTheme="majorBidi" w:cstheme="majorBidi"/>
            <w:b/>
            <w:bCs/>
            <w:sz w:val="28"/>
            <w:szCs w:val="28"/>
            <w:lang w:bidi="ar-IQ"/>
          </w:rPr>
          <w:t>Lawp1e212@utq.edq.iq</w:t>
        </w:r>
      </w:hyperlink>
      <w:r w:rsidRPr="00005B2B">
        <w:rPr>
          <w:rFonts w:asciiTheme="majorBidi" w:hAnsiTheme="majorBidi" w:cstheme="majorBidi"/>
          <w:b/>
          <w:bCs/>
          <w:sz w:val="28"/>
          <w:szCs w:val="28"/>
          <w:lang w:bidi="ar-IQ"/>
        </w:rPr>
        <w:t xml:space="preserve">   </w:t>
      </w:r>
      <w:r w:rsidRPr="00005B2B">
        <w:rPr>
          <w:rFonts w:asciiTheme="majorBidi" w:hAnsiTheme="majorBidi" w:cstheme="majorBidi"/>
          <w:b/>
          <w:bCs/>
          <w:sz w:val="28"/>
          <w:szCs w:val="28"/>
          <w:rtl/>
          <w:lang w:bidi="ar-IQ"/>
        </w:rPr>
        <w:t xml:space="preserve">               </w:t>
      </w:r>
      <w:r w:rsidRPr="00005B2B">
        <w:rPr>
          <w:rFonts w:asciiTheme="majorBidi" w:hAnsiTheme="majorBidi" w:cstheme="majorBidi"/>
          <w:b/>
          <w:bCs/>
          <w:sz w:val="28"/>
          <w:szCs w:val="28"/>
          <w:lang w:bidi="ar-IQ"/>
        </w:rPr>
        <w:t xml:space="preserve"> </w:t>
      </w:r>
      <w:r w:rsidRPr="00005B2B">
        <w:rPr>
          <w:rFonts w:asciiTheme="majorBidi" w:hAnsiTheme="majorBidi" w:cstheme="majorBidi"/>
          <w:b/>
          <w:bCs/>
          <w:sz w:val="28"/>
          <w:szCs w:val="28"/>
          <w:lang w:bidi="ar-IQ"/>
        </w:rPr>
        <w:tab/>
      </w:r>
      <w:hyperlink r:id="rId10" w:history="1">
        <w:r w:rsidRPr="00005B2B">
          <w:rPr>
            <w:rStyle w:val="Hyperlink"/>
            <w:rFonts w:asciiTheme="majorBidi" w:hAnsiTheme="majorBidi" w:cstheme="majorBidi"/>
            <w:b/>
            <w:bCs/>
            <w:sz w:val="28"/>
            <w:szCs w:val="28"/>
            <w:lang w:bidi="ar-IQ"/>
          </w:rPr>
          <w:t>Law5mas15@utq.edu.iq</w:t>
        </w:r>
      </w:hyperlink>
    </w:p>
    <w:p w:rsidR="00005B2B" w:rsidRPr="00005B2B" w:rsidRDefault="00005B2B" w:rsidP="00005B2B">
      <w:pPr>
        <w:spacing w:after="0" w:line="240" w:lineRule="auto"/>
        <w:jc w:val="both"/>
        <w:rPr>
          <w:rFonts w:asciiTheme="majorBidi" w:hAnsiTheme="majorBidi" w:cstheme="majorBidi" w:hint="cs"/>
          <w:b/>
          <w:bCs/>
          <w:sz w:val="28"/>
          <w:szCs w:val="28"/>
          <w:rtl/>
          <w:lang w:bidi="ar-IQ"/>
        </w:rPr>
      </w:pPr>
    </w:p>
    <w:p w:rsidR="00005B2B" w:rsidRPr="00005B2B" w:rsidRDefault="00330F61" w:rsidP="00330F61">
      <w:pPr>
        <w:spacing w:after="0" w:line="240" w:lineRule="auto"/>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مستخلص البحث:</w:t>
      </w:r>
    </w:p>
    <w:p w:rsidR="00005B2B" w:rsidRPr="00005B2B" w:rsidRDefault="00330F61" w:rsidP="00005B2B">
      <w:pPr>
        <w:spacing w:after="0" w:line="24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005B2B" w:rsidRPr="00005B2B">
        <w:rPr>
          <w:rFonts w:asciiTheme="majorBidi" w:hAnsiTheme="majorBidi" w:cstheme="majorBidi"/>
          <w:sz w:val="28"/>
          <w:szCs w:val="28"/>
          <w:rtl/>
          <w:lang w:bidi="ar-IQ"/>
        </w:rPr>
        <w:t xml:space="preserve"> أن النصوص الدستورية تمثل القواعد والأصول العامة والعليا ولها مقام الصدارة بين قواعد النظام العام التي يتعين الالتزام بها ومراعاتها باعتبارها أسمى القواعد الأمرة وإهدار ما يخالفها من تشريعات،  لقد أصبح من الواضح أن أحد غايات وجود الدستور إلى جانب تنظيم ما يتعلق بنظام الحكم والسلطات العامة حماية حقوق الأنسان وحرياته الأساسية، لهذا ألحق تنظيمها  بالاختصاص التأسيسي اكثر منه التشريعي، إذ توفر النصوص الدستورية لحق الملكية الخاصة المكانة المتميزة والحماية الكافية، لما تتمتع بهِ هذه النصوص من علو بين القواعد القانونية الأخرى، مما يستلزم انصياع القواعد القانونية والتشريعات بما تقرهُ النصوص الدستورية وبعدم المساس بملكيات الأفراد الخاصة أو محاولة انتهاكها من قبل السلطات العامة، ولما ترتبهُ هذه النصوص من دعم وضمان للملكية، وأيضًا بما تقرهُ من التزامات على المشرع العادي تستوجب إقرار التشريعات على نحو لا يخل بملكيات الأفراد، لما تتمتع بهِ السلطة التشريعية من اختصاص سن القوانين ووضع القيود على الحق، وألا يكون ذلك إلا لدوافع المصلحة العامة، الأمر الذي يقضي بحصر نشاطها في المجال الذي يتفق ووظيفة الملكية الخاصة.</w:t>
      </w:r>
    </w:p>
    <w:p w:rsidR="00005B2B" w:rsidRDefault="00005B2B" w:rsidP="00005B2B">
      <w:pPr>
        <w:spacing w:after="0" w:line="240" w:lineRule="auto"/>
        <w:jc w:val="both"/>
        <w:rPr>
          <w:rFonts w:asciiTheme="majorBidi" w:hAnsiTheme="majorBidi" w:cstheme="majorBidi" w:hint="cs"/>
          <w:sz w:val="28"/>
          <w:szCs w:val="28"/>
          <w:rtl/>
          <w:lang w:bidi="ar-IQ"/>
        </w:rPr>
      </w:pPr>
      <w:r w:rsidRPr="00330F61">
        <w:rPr>
          <w:rFonts w:asciiTheme="majorBidi" w:hAnsiTheme="majorBidi" w:cstheme="majorBidi"/>
          <w:b/>
          <w:bCs/>
          <w:sz w:val="28"/>
          <w:szCs w:val="28"/>
          <w:rtl/>
          <w:lang w:bidi="ar-IQ"/>
        </w:rPr>
        <w:t>الكلمات المفتاحية:</w:t>
      </w:r>
      <w:r w:rsidRPr="00005B2B">
        <w:rPr>
          <w:rFonts w:asciiTheme="majorBidi" w:hAnsiTheme="majorBidi" w:cstheme="majorBidi"/>
          <w:sz w:val="28"/>
          <w:szCs w:val="28"/>
          <w:rtl/>
          <w:lang w:bidi="ar-IQ"/>
        </w:rPr>
        <w:t xml:space="preserve"> حق الملكية الخاصة, النصوص الدستورية، السلطة التقديرية للمشرع, تشريع القوانين. </w:t>
      </w:r>
    </w:p>
    <w:p w:rsidR="00005B2B" w:rsidRPr="00005B2B" w:rsidRDefault="00005B2B" w:rsidP="00F47974">
      <w:pPr>
        <w:spacing w:after="0" w:line="240" w:lineRule="auto"/>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المقدمة</w:t>
      </w:r>
    </w:p>
    <w:p w:rsidR="00005B2B" w:rsidRPr="00005B2B" w:rsidRDefault="00005B2B" w:rsidP="00005B2B">
      <w:pPr>
        <w:spacing w:after="0" w:line="240" w:lineRule="auto"/>
        <w:jc w:val="both"/>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اولاً- التعريف بموضوع البحث:</w:t>
      </w:r>
    </w:p>
    <w:p w:rsidR="00005B2B" w:rsidRDefault="00005B2B" w:rsidP="00005B2B">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b/>
          <w:bCs/>
          <w:sz w:val="28"/>
          <w:szCs w:val="28"/>
          <w:rtl/>
          <w:lang w:bidi="ar-IQ"/>
        </w:rPr>
        <w:t xml:space="preserve">         </w:t>
      </w:r>
      <w:r w:rsidRPr="00005B2B">
        <w:rPr>
          <w:rFonts w:asciiTheme="majorBidi" w:hAnsiTheme="majorBidi" w:cstheme="majorBidi"/>
          <w:sz w:val="28"/>
          <w:szCs w:val="28"/>
          <w:rtl/>
          <w:lang w:bidi="ar-IQ"/>
        </w:rPr>
        <w:t>يتناول هذا البحث أهم الأثار المترتبة على النصوص الدستورية في حماية حق الملكية الخاصة، وما توفره هذه النصوص من ضمان لتمتع الأفراد بملكياتهم بالشكل الذي لا يعرضهم لمفاجئات مباغته وانتهاك حقهم  في التملك بما تسنه السلطة التشريعية من قوانين، فضلًا عما تسنهُ السلطة التنفيذية من قوانين بناءٌ على تفويض من قبل السلطة التشريعية، إذ توفر النصوص الدستورية حماية دستورية متكاملة لحق الملكية الخاصة من خلال ضمان الملكيات وحمايتها من الاعتداء، إلى جانت فرض التزامات على المشرع العادي يلزم بأدائها تحقيقًا للحماية الدستورية، وخلافًا لذلك يحكم بعدم دستورية القانون المخالف .</w:t>
      </w:r>
    </w:p>
    <w:p w:rsidR="00700197" w:rsidRDefault="00700197" w:rsidP="00005B2B">
      <w:pPr>
        <w:spacing w:after="0" w:line="240" w:lineRule="auto"/>
        <w:jc w:val="both"/>
        <w:rPr>
          <w:rFonts w:asciiTheme="majorBidi" w:hAnsiTheme="majorBidi" w:cstheme="majorBidi" w:hint="cs"/>
          <w:sz w:val="28"/>
          <w:szCs w:val="28"/>
          <w:rtl/>
          <w:lang w:bidi="ar-IQ"/>
        </w:rPr>
      </w:pPr>
    </w:p>
    <w:p w:rsidR="00700197" w:rsidRDefault="00700197" w:rsidP="00005B2B">
      <w:pPr>
        <w:spacing w:after="0" w:line="240" w:lineRule="auto"/>
        <w:jc w:val="both"/>
        <w:rPr>
          <w:rFonts w:asciiTheme="majorBidi" w:hAnsiTheme="majorBidi" w:cstheme="majorBidi" w:hint="cs"/>
          <w:sz w:val="28"/>
          <w:szCs w:val="28"/>
          <w:rtl/>
          <w:lang w:bidi="ar-IQ"/>
        </w:rPr>
      </w:pPr>
    </w:p>
    <w:p w:rsidR="00700197" w:rsidRPr="00005B2B" w:rsidRDefault="00700197" w:rsidP="00005B2B">
      <w:pPr>
        <w:spacing w:after="0" w:line="240" w:lineRule="auto"/>
        <w:jc w:val="both"/>
        <w:rPr>
          <w:rFonts w:asciiTheme="majorBidi" w:hAnsiTheme="majorBidi" w:cstheme="majorBidi"/>
          <w:sz w:val="28"/>
          <w:szCs w:val="28"/>
          <w:rtl/>
          <w:lang w:bidi="ar-IQ"/>
        </w:rPr>
      </w:pPr>
    </w:p>
    <w:p w:rsidR="00005B2B" w:rsidRPr="00005B2B" w:rsidRDefault="00005B2B" w:rsidP="00005B2B">
      <w:pPr>
        <w:spacing w:after="0" w:line="240" w:lineRule="auto"/>
        <w:jc w:val="both"/>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ثانياً- أهمية البحث:</w:t>
      </w:r>
    </w:p>
    <w:p w:rsidR="00005B2B" w:rsidRPr="00005B2B" w:rsidRDefault="00005B2B" w:rsidP="00005B2B">
      <w:pPr>
        <w:spacing w:after="0" w:line="240" w:lineRule="auto"/>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تكمن أهمية هذه الدراسة في كونها تسلط الضوء على دور النصوص الدستورية بعدها القانون الأعلى للدولة في حماية حق الملكية  الخاصة من خلال الأثار التي تترتب عليها؛ والتي تسهم في ضمان حماية دستورية متكاملة تسمح بتمتع الأفراد بملكيتهم الخاصة بصورة آمنة غير معرضة للانتهاك من قبل التشريعات الأدنى للدستور، وعلى الرغم من أن الملكية الخاصة تجد صداها في القانون الإداري أكثر, إلا أننا اثرنا أن </w:t>
      </w:r>
      <w:r w:rsidRPr="00005B2B">
        <w:rPr>
          <w:rFonts w:asciiTheme="majorBidi" w:hAnsiTheme="majorBidi" w:cstheme="majorBidi"/>
          <w:sz w:val="28"/>
          <w:szCs w:val="28"/>
          <w:rtl/>
        </w:rPr>
        <w:t>نبحت هذا الموضوع  في الجانب الدستوري، لتوضيح أثر هذه النصوص في حماية حق الملكية الخاصة من الاعتداء.</w:t>
      </w:r>
    </w:p>
    <w:p w:rsidR="00005B2B" w:rsidRPr="00005B2B" w:rsidRDefault="00005B2B" w:rsidP="00005B2B">
      <w:pPr>
        <w:spacing w:after="0" w:line="240" w:lineRule="auto"/>
        <w:jc w:val="both"/>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ثالثاً- مشكلة البحث:</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b/>
          <w:bCs/>
          <w:sz w:val="28"/>
          <w:szCs w:val="28"/>
          <w:rtl/>
          <w:lang w:bidi="ar-IQ"/>
        </w:rPr>
        <w:t xml:space="preserve">           </w:t>
      </w:r>
      <w:r w:rsidRPr="00005B2B">
        <w:rPr>
          <w:rFonts w:asciiTheme="majorBidi" w:hAnsiTheme="majorBidi" w:cstheme="majorBidi"/>
          <w:sz w:val="28"/>
          <w:szCs w:val="28"/>
          <w:rtl/>
          <w:lang w:bidi="ar-IQ"/>
        </w:rPr>
        <w:t>أن الغرض الذي دعانا لبحث هذا الموضوع – هو بيان وإيضاح حق الملكية الخاصة في ظل النصوص الدستورية المتعاقبة وما أولته هذه النصوص من حماية وانتهاك في أنن واحد، إلى جانب توضيح أهم الالتزامات التي يفرضها الدستور الجديد على المشرع العادي، وإلى أي مدى تمكن المشرع العادي من أداء هذه الالتزامات بصدور الدستور الجديد، واستنادًا لذلك كان لابد من توضيح النصوص التي تناولت حق الملكية الخاصة في ظل الدساتير المتعاقبة، وتوضيح أهم الالتزامات التي ترتبها.</w:t>
      </w:r>
    </w:p>
    <w:p w:rsidR="00005B2B" w:rsidRPr="00005B2B" w:rsidRDefault="00005B2B" w:rsidP="00005B2B">
      <w:pPr>
        <w:spacing w:after="0" w:line="240" w:lineRule="auto"/>
        <w:jc w:val="both"/>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رابعاً- أهداف الدراسة:</w:t>
      </w:r>
    </w:p>
    <w:p w:rsidR="00005B2B" w:rsidRPr="00005B2B" w:rsidRDefault="00005B2B" w:rsidP="00005B2B">
      <w:pPr>
        <w:pStyle w:val="a7"/>
        <w:numPr>
          <w:ilvl w:val="0"/>
          <w:numId w:val="24"/>
        </w:numPr>
        <w:spacing w:after="0" w:line="240" w:lineRule="auto"/>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تهدف هذه الدراسة إلى بيان دور نصوص الدستور في تحديد الاطار العام لحق الملكية الخاصة .</w:t>
      </w:r>
    </w:p>
    <w:p w:rsidR="00005B2B" w:rsidRPr="00005B2B" w:rsidRDefault="00005B2B" w:rsidP="00005B2B">
      <w:pPr>
        <w:pStyle w:val="a7"/>
        <w:numPr>
          <w:ilvl w:val="0"/>
          <w:numId w:val="24"/>
        </w:numPr>
        <w:spacing w:after="0" w:line="240" w:lineRule="auto"/>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تهدف إلى بيان موقف السلطة التشريعية من حماية حق الملكية الخاصة دستوريًا. </w:t>
      </w:r>
    </w:p>
    <w:p w:rsidR="00005B2B" w:rsidRPr="00005B2B" w:rsidRDefault="00005B2B" w:rsidP="00005B2B">
      <w:pPr>
        <w:pStyle w:val="a7"/>
        <w:numPr>
          <w:ilvl w:val="0"/>
          <w:numId w:val="24"/>
        </w:numPr>
        <w:spacing w:after="0" w:line="240" w:lineRule="auto"/>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تهدف إلى بيان وتحديد المدى الذي تمكنت من خلاله النصوص الدستورية بإرساء هذه الحماية.</w:t>
      </w:r>
    </w:p>
    <w:p w:rsidR="00005B2B" w:rsidRPr="00005B2B" w:rsidRDefault="00005B2B" w:rsidP="00005B2B">
      <w:pPr>
        <w:spacing w:after="0" w:line="240" w:lineRule="auto"/>
        <w:jc w:val="both"/>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خامساً- منهجية الدراسة :</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اعتمدنا في هذه الدراسة على منهجين احدهما يكمل الأخر في الوصول لمادة البحث، المنهج المقارن والمنهج التحليلي, وذلك لبيان النصوص التي تناولت حق الملكية الخاصة في الدستور العراقي والمقارن ولتحليل هذه النصوص وما يرد من تطبيقات قضائية وصولًا لوضع الآراء التي تتعلق بموضوع البحث. </w:t>
      </w:r>
    </w:p>
    <w:p w:rsidR="00005B2B" w:rsidRPr="00005B2B" w:rsidRDefault="00005B2B" w:rsidP="00700197">
      <w:pPr>
        <w:spacing w:after="0" w:line="240" w:lineRule="auto"/>
        <w:jc w:val="both"/>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سادساً - تقسيم البحث:</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b/>
          <w:bCs/>
          <w:sz w:val="28"/>
          <w:szCs w:val="28"/>
          <w:rtl/>
          <w:lang w:bidi="ar-IQ"/>
        </w:rPr>
        <w:t xml:space="preserve">       </w:t>
      </w:r>
      <w:r w:rsidRPr="00005B2B">
        <w:rPr>
          <w:rFonts w:asciiTheme="majorBidi" w:hAnsiTheme="majorBidi" w:cstheme="majorBidi"/>
          <w:sz w:val="28"/>
          <w:szCs w:val="28"/>
          <w:rtl/>
          <w:lang w:bidi="ar-IQ"/>
        </w:rPr>
        <w:t xml:space="preserve">لأجل الإحاطة الكافية بموضوع البحث اعتمدنا التقسيم الثنائي, وسنبحثهُ في مطلبين، نتناول في المطلب الأول دعم وحماية النص الدستوري لحق الملكية الخاصة، والمطلب الثاني التزامات المشرع العادي قبال النصوص الدستورية. </w:t>
      </w:r>
    </w:p>
    <w:p w:rsidR="00005B2B" w:rsidRPr="00005B2B" w:rsidRDefault="00005B2B" w:rsidP="00005B2B">
      <w:pPr>
        <w:spacing w:after="0" w:line="240" w:lineRule="auto"/>
        <w:jc w:val="both"/>
        <w:rPr>
          <w:rFonts w:asciiTheme="majorBidi" w:hAnsiTheme="majorBidi" w:cstheme="majorBidi"/>
          <w:sz w:val="28"/>
          <w:szCs w:val="28"/>
          <w:rtl/>
          <w:lang w:bidi="ar-IQ"/>
        </w:rPr>
      </w:pPr>
    </w:p>
    <w:p w:rsidR="00005B2B" w:rsidRPr="00005B2B" w:rsidRDefault="00005B2B" w:rsidP="00005B2B">
      <w:pPr>
        <w:spacing w:after="0" w:line="240" w:lineRule="auto"/>
        <w:jc w:val="both"/>
        <w:rPr>
          <w:rFonts w:asciiTheme="majorBidi" w:hAnsiTheme="majorBidi" w:cstheme="majorBidi"/>
          <w:sz w:val="28"/>
          <w:szCs w:val="28"/>
          <w:rtl/>
          <w:lang w:bidi="ar-IQ"/>
        </w:rPr>
      </w:pPr>
    </w:p>
    <w:p w:rsidR="00005B2B" w:rsidRPr="00005B2B" w:rsidRDefault="00005B2B" w:rsidP="00005B2B">
      <w:pPr>
        <w:spacing w:after="0" w:line="240" w:lineRule="auto"/>
        <w:jc w:val="both"/>
        <w:rPr>
          <w:rFonts w:asciiTheme="majorBidi" w:hAnsiTheme="majorBidi" w:cstheme="majorBidi"/>
          <w:sz w:val="28"/>
          <w:szCs w:val="28"/>
          <w:rtl/>
          <w:lang w:bidi="ar-IQ"/>
        </w:rPr>
      </w:pPr>
    </w:p>
    <w:p w:rsidR="00005B2B" w:rsidRPr="00005B2B" w:rsidRDefault="00005B2B" w:rsidP="00005B2B">
      <w:pPr>
        <w:spacing w:after="0" w:line="240" w:lineRule="auto"/>
        <w:jc w:val="center"/>
        <w:rPr>
          <w:rFonts w:asciiTheme="majorBidi" w:hAnsiTheme="majorBidi" w:cstheme="majorBidi"/>
          <w:sz w:val="28"/>
          <w:szCs w:val="28"/>
          <w:rtl/>
          <w:lang w:bidi="ar-IQ"/>
        </w:rPr>
      </w:pPr>
    </w:p>
    <w:p w:rsidR="00005B2B" w:rsidRPr="00005B2B" w:rsidRDefault="00005B2B" w:rsidP="00005B2B">
      <w:pPr>
        <w:spacing w:after="0" w:line="240" w:lineRule="auto"/>
        <w:jc w:val="center"/>
        <w:rPr>
          <w:rFonts w:asciiTheme="majorBidi" w:hAnsiTheme="majorBidi" w:cstheme="majorBidi"/>
          <w:sz w:val="28"/>
          <w:szCs w:val="28"/>
          <w:rtl/>
          <w:lang w:bidi="ar-IQ"/>
        </w:rPr>
      </w:pPr>
    </w:p>
    <w:p w:rsidR="00005B2B" w:rsidRPr="00005B2B" w:rsidRDefault="00005B2B" w:rsidP="00005B2B">
      <w:pPr>
        <w:spacing w:after="0" w:line="240" w:lineRule="auto"/>
        <w:jc w:val="center"/>
        <w:rPr>
          <w:rFonts w:asciiTheme="majorBidi" w:hAnsiTheme="majorBidi" w:cstheme="majorBidi"/>
          <w:sz w:val="28"/>
          <w:szCs w:val="28"/>
          <w:rtl/>
          <w:lang w:bidi="ar-IQ"/>
        </w:rPr>
      </w:pPr>
    </w:p>
    <w:p w:rsidR="00005B2B" w:rsidRPr="00005B2B" w:rsidRDefault="00005B2B" w:rsidP="00005B2B">
      <w:pPr>
        <w:spacing w:after="0" w:line="240" w:lineRule="auto"/>
        <w:jc w:val="center"/>
        <w:rPr>
          <w:rFonts w:asciiTheme="majorBidi" w:hAnsiTheme="majorBidi" w:cstheme="majorBidi"/>
          <w:sz w:val="28"/>
          <w:szCs w:val="28"/>
          <w:rtl/>
          <w:lang w:bidi="ar-IQ"/>
        </w:rPr>
      </w:pPr>
    </w:p>
    <w:p w:rsidR="00005B2B" w:rsidRPr="00005B2B" w:rsidRDefault="00005B2B" w:rsidP="00005B2B">
      <w:pPr>
        <w:spacing w:after="0" w:line="240" w:lineRule="auto"/>
        <w:jc w:val="center"/>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المطلب الأول</w:t>
      </w:r>
    </w:p>
    <w:p w:rsidR="00005B2B" w:rsidRPr="00005B2B" w:rsidRDefault="00005B2B" w:rsidP="00005B2B">
      <w:pPr>
        <w:spacing w:after="0" w:line="240" w:lineRule="auto"/>
        <w:jc w:val="center"/>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دعم وحماية النص الدستوري لحق الملكية الخاصة</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يضفي الدستور أهمية عالية لحقوق الأنسان، في ظل أفراد فصل خاص بها لإيرادها في نصوص واضحة ومفصلة، ولعل حق الملكية الخاصة أحد الحقوق التي يتمتع بها الأفراد، إذا أولى الدستور هذا الحق مركزًا دستوريًا يتمتع بهِ، وأحاطته بالضمانات الكافية التي تضمن تمتع الأفراد به، وعدم الاعتداء عليهِ بالانتهاك من قبل الأفراد والدولة على حدًا سواء، واقترن ذلك ضمن الدستور المكتوب والذي جعل منه وسيلة للحرية، ذلك بعده ضمانة ناجحة لحماية الحق، ونظرًا لكثرة الوثائق الدستورية المتعاقبة، سنوضح هذا المطلب في فرعين، نوضح في الفرع الأول حق الملكية الخاصة وفق النصوص الدستورية الملغاة، والفرع الثاني حق الملكية الخاصة وفق النصوص الدستورية النافذة، وعلى النحو الآتي:ـ(1) </w:t>
      </w:r>
    </w:p>
    <w:p w:rsidR="00005B2B" w:rsidRPr="00005B2B" w:rsidRDefault="00005B2B" w:rsidP="00005B2B">
      <w:pPr>
        <w:spacing w:after="0" w:line="240" w:lineRule="auto"/>
        <w:jc w:val="center"/>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الفرع الأول</w:t>
      </w:r>
    </w:p>
    <w:p w:rsidR="00005B2B" w:rsidRPr="00005B2B" w:rsidRDefault="00005B2B" w:rsidP="00005B2B">
      <w:pPr>
        <w:spacing w:after="0" w:line="240" w:lineRule="auto"/>
        <w:jc w:val="center"/>
        <w:rPr>
          <w:rFonts w:asciiTheme="majorBidi" w:hAnsiTheme="majorBidi" w:cstheme="majorBidi"/>
          <w:sz w:val="28"/>
          <w:szCs w:val="28"/>
          <w:rtl/>
          <w:lang w:bidi="ar-IQ"/>
        </w:rPr>
      </w:pPr>
      <w:r w:rsidRPr="00005B2B">
        <w:rPr>
          <w:rFonts w:asciiTheme="majorBidi" w:hAnsiTheme="majorBidi" w:cstheme="majorBidi"/>
          <w:b/>
          <w:bCs/>
          <w:sz w:val="28"/>
          <w:szCs w:val="28"/>
          <w:rtl/>
          <w:lang w:bidi="ar-IQ"/>
        </w:rPr>
        <w:t>حق الملكية الخاصة وفق النصوص الدستورية الملغاة</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أشارت الدساتير المقارنة المتعاقبة لحق الملكية الخاصة ضمن نصوصها الدستورية، ومن ذلك ما أشارت له الدساتير الفرنسية، بصدور </w:t>
      </w:r>
      <w:proofErr w:type="spellStart"/>
      <w:r w:rsidRPr="00005B2B">
        <w:rPr>
          <w:rFonts w:asciiTheme="majorBidi" w:hAnsiTheme="majorBidi" w:cstheme="majorBidi"/>
          <w:sz w:val="28"/>
          <w:szCs w:val="28"/>
          <w:rtl/>
          <w:lang w:bidi="ar-IQ"/>
        </w:rPr>
        <w:t>أعلان</w:t>
      </w:r>
      <w:proofErr w:type="spellEnd"/>
      <w:r w:rsidRPr="00005B2B">
        <w:rPr>
          <w:rFonts w:asciiTheme="majorBidi" w:hAnsiTheme="majorBidi" w:cstheme="majorBidi"/>
          <w:sz w:val="28"/>
          <w:szCs w:val="28"/>
          <w:rtl/>
          <w:lang w:bidi="ar-IQ"/>
        </w:rPr>
        <w:t xml:space="preserve"> حقوق الأنسان والمواطن لسنة 1789 والذي أوجب الحماية لحق الملكية ومنع الاعتداء عليها بموجب النص((حق الملكية هو حق مقدس لا يمكن انتهاكه، فلا يجوز انتزاع الملكية من احد، إلا إذ اقتضت به صراحة الضرورة العامة، بعد التحقق من وجودها بصورة مشروعة، بشرط إن يتقدم هذا الانتزاع تعويض عادل ومسبق))(2).</w:t>
      </w:r>
    </w:p>
    <w:p w:rsidR="00005B2B" w:rsidRDefault="00005B2B" w:rsidP="00005B2B">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sz w:val="28"/>
          <w:szCs w:val="28"/>
          <w:rtl/>
          <w:lang w:bidi="ar-IQ"/>
        </w:rPr>
        <w:t xml:space="preserve">          ففي دستور الجمهورية الأولى لفرنسا(24) يونيو لسنة1793 أشار في مقدمته لإعلان حقوق الأنسان والمواطن، كذلك هو الحال لدستور الجمهورية الثانية لسنة 1848، خلافاً لدستور الجمهورية الثالثة الذي لم يتضمن نصوصًا تضمن حق الأفراد بالملكية في متن الدستور، علاوة عن عدم تضمينه لحقوق أخرى، ويرى الباحث إن صمت الدستور من الممكن كان القصد منهُ التأكيد على إن المبادئ الواردة في إعلان 1789تم الحفاظ عليها ضمنيًا(3)،</w:t>
      </w:r>
      <w:r w:rsidRPr="00005B2B">
        <w:rPr>
          <w:rFonts w:asciiTheme="majorBidi" w:hAnsiTheme="majorBidi" w:cstheme="majorBidi"/>
          <w:sz w:val="28"/>
          <w:szCs w:val="28"/>
          <w:rtl/>
        </w:rPr>
        <w:t xml:space="preserve"> </w:t>
      </w:r>
      <w:r w:rsidRPr="00005B2B">
        <w:rPr>
          <w:rFonts w:asciiTheme="majorBidi" w:hAnsiTheme="majorBidi" w:cstheme="majorBidi"/>
          <w:sz w:val="28"/>
          <w:szCs w:val="28"/>
          <w:rtl/>
          <w:lang w:bidi="ar-IQ"/>
        </w:rPr>
        <w:t>ثم عاد دستور الجمهورية الرابعة1946ليؤكد على أهمية حق الملكية الخاصة الوارد في إعلان حقوق الأنسان والمواطن وليضمنه بديباجة الدستور للتأكيد على أهميته، إذ عد حق الملكية الخاصة هو احد متطلبات المجتمع السياسي والتي لابد من الحفاظ عليها، كما أشار ذات الدستور في مقدمته ((كل مشروع أكتسب صفة مرفق عام وطني أو كان يتمتع باحتكار فعلي يجب أن يصبح ملكاً للجماعة))(4)،وأثار هذا النص مناقشات محتدمة بين الإشارة لانتقاص حق الملكية بالصورة التي تحط من قيمة الملكية، وبين عدم تعارضها مع نص المادة(17)من الإعلان الدستوري، بيد إن استقراء النص يتضح انه أشار لثلاث شروط يمكن استنتاجها من المادة(17)والفقرة(9)من مقدمة الدستور، إذ نلاحظ أن الفقرة الأخيرة تطلبت اكتساب المشروع صفة المرفق العام أو التمتع باحتكار فعلي والشرط الثاني يصبح ملكًا للجماعة، والثالث التعويض العادل والمسبق، مما يظهر عدم تعارض كل من المادة والفقرة(5).</w:t>
      </w:r>
    </w:p>
    <w:p w:rsidR="00700197" w:rsidRPr="00005B2B" w:rsidRDefault="00700197" w:rsidP="00005B2B">
      <w:pPr>
        <w:spacing w:after="0" w:line="240" w:lineRule="auto"/>
        <w:jc w:val="both"/>
        <w:rPr>
          <w:rFonts w:asciiTheme="majorBidi" w:hAnsiTheme="majorBidi" w:cstheme="majorBidi"/>
          <w:sz w:val="28"/>
          <w:szCs w:val="28"/>
          <w:rtl/>
          <w:lang w:bidi="ar-IQ"/>
        </w:rPr>
      </w:pPr>
    </w:p>
    <w:p w:rsidR="00005B2B" w:rsidRPr="00005B2B" w:rsidRDefault="00005B2B" w:rsidP="00005B2B">
      <w:pPr>
        <w:spacing w:after="0" w:line="240" w:lineRule="auto"/>
        <w:jc w:val="both"/>
        <w:rPr>
          <w:rFonts w:asciiTheme="majorBidi" w:hAnsiTheme="majorBidi" w:cstheme="majorBidi"/>
          <w:sz w:val="28"/>
          <w:szCs w:val="28"/>
          <w:rtl/>
          <w:lang w:bidi="ar-IQ"/>
        </w:rPr>
      </w:pP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فالملكية  الخاصة في نظر رجال الثورة الفرنسية حق ذاتي لصيق بالشخص، لا يتباين والحقوق الفردية الأخرى، التي تم رفعها في المادة(2) من إعلان الحقوق الفرنسي، إلى مرتبة الحقوق الطبيعية والحريات العامة، كذلك النص على الملكية  الخاصة في وثيقة تاريخية وبعده من الحقوق الأصلية لا يمكن التنازل عنه، فضلًا عن المادة (16) التي تقرر مبدأ الفصل بين السلطات، وذلك لأجل احترام الحقوق العامة، وتم اقتباس هذه الفكرة من </w:t>
      </w:r>
      <w:proofErr w:type="spellStart"/>
      <w:r w:rsidRPr="00005B2B">
        <w:rPr>
          <w:rFonts w:asciiTheme="majorBidi" w:hAnsiTheme="majorBidi" w:cstheme="majorBidi"/>
          <w:sz w:val="28"/>
          <w:szCs w:val="28"/>
          <w:rtl/>
          <w:lang w:bidi="ar-IQ"/>
        </w:rPr>
        <w:t>مونتسيكيو</w:t>
      </w:r>
      <w:proofErr w:type="spellEnd"/>
      <w:r w:rsidRPr="00005B2B">
        <w:rPr>
          <w:rFonts w:asciiTheme="majorBidi" w:hAnsiTheme="majorBidi" w:cstheme="majorBidi"/>
          <w:sz w:val="28"/>
          <w:szCs w:val="28"/>
          <w:rtl/>
          <w:lang w:bidi="ar-IQ"/>
        </w:rPr>
        <w:t>، و يعود لهذا الإقرار الدستوري في المادة الواردة ضمان وحماية كافية لحق الملكية الخاصة.(6)</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كما وحرصت جميع الدساتير المصرية منذ دستور 1923على كفالة مبدأ صون الملكية الخاصة وترسيخ حمايتها، والنص صراحة على ذلك، فأقر الدستور الأخير  حماية هذا الحق والنص على ((أن للملكية حرمة فلا ينزع عن أحد ملكيته، إلا بسبب المنفعة العامة، في الأحوال المبينة في القانون، وبالكيفية المنصوص عليها، وبشرط تعويضه عنه تعويض عادلًا))(7) كما قرر أيضًا إن المصادر العامة للأموال محظورة،(8)وجاء بذات النص والصيغة دستور 1930، أما الدستور الصادر سنة1956 قرر ((إن الملكية الخاصة مصونة، وينظم القانون أداء وظيفتها الاجتماعية، ولا تنزع الملكية إلا للمنفعة العامة، وبمقابل تعويض عادل وفقا للقانون))،(9)وأعتمد دستور الجمهورية العربية المتحدة المؤقت لسنة 1958 ذات الصيغة الواردة في الدستور الأخير،(10)كذلك الحال لدستور الصادر سنة1946،(11) أما الدستور الصادر سنة 1971 أشار إلى ((إن الملكية الخاصة تتمثل في رأس المال غير المستغل، وينظم القانون أداء وظيفتها الاجتماعية في خدمة الاقتصاد القومي، وفي اطار خطة التنمية، دون انحراف أو استغلال ولا يجوز إن تتعارض في طرق استخدامها مع الخير العام للشعب))(12)كما أشار إلى((الملكية الخاصة مصونة، ولا يجوز فرض الحراسة عليها إلا في الأحوال المبينة في القانون وبحكم قضائي، ولا تنزع الملكية إلا للمنفعة العامة، وبمقابل تعويض وفقا للقانون، وحق الإرث فيها مكفول))(13) وحدد أيضًا إلى انه((لا يجوز التأميم إلا الاعتبارات الصالح العام، وبقانون، ومقابل تعويض))(14)وحظر المصادرة بدليل النص ((المصادرة للأموال محظورة، ولا تجوز المصادر الخاصة إلا بحكم قضائي))،(15) والدستور الصادر سنة 2012 أشار إلى((تكفل الدولة الملكية المشروعة بأنواعها العامة والتعاونية والخاصة والوقف، وتحميها وفقا لما ينظمه القانون))،(16)كما أشار إلى((الملكية الخاصة مصونة، تؤدي وظيفتها الاجتماعية في خدمة الاقتصاد الوطني دون انحراف أو احتكار وحق الإرث فيها مكفول، ولا يجوز فرض الحراسة عليها إلا في الأحوال المبينة في القانون، وبحكم قضائي، ولا تنزع إلا للمنفعة العامة، ومقابل تعويض عادل يُدفع مقدمًا، وذلك كله وفقا للقانون))،(17)وحدد عدم جواز التأميم إلا للصالح العام وحظر المصادرة إلا بحكم قضائي(18).</w:t>
      </w:r>
    </w:p>
    <w:p w:rsidR="00700197" w:rsidRDefault="00005B2B" w:rsidP="00005B2B">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sz w:val="28"/>
          <w:szCs w:val="28"/>
          <w:rtl/>
          <w:lang w:bidi="ar-IQ"/>
        </w:rPr>
        <w:t xml:space="preserve">            تشير كثرة النصوص الدستورية الواردة في صلب الوثيقة الدستورية إلى الأهمية الكبيرة لهذا الحق، واهتمام النصوص الدستورية باحترام حق الملكية ذلك بحظر المصادرة والتأميم في النص الدستورية إلا بصدور حكم قضائي ووفقًا للقانون، هذا ما يؤكد على كفالة حق الفرد في التملك، ولا يمكن المبالغة بالقول إن حق الملكية يعد اهم الحقوق الاقتصادية على الأطلاق، وان الحماية الدستورية لهذا الحق هي أساس البنيان الاقتصادي لدولة ما، فالملكية بعدها نتاج الجهد الفردي من جهة، ومصدر من </w:t>
      </w:r>
    </w:p>
    <w:p w:rsidR="00700197" w:rsidRDefault="00700197" w:rsidP="00005B2B">
      <w:pPr>
        <w:spacing w:after="0" w:line="240" w:lineRule="auto"/>
        <w:jc w:val="both"/>
        <w:rPr>
          <w:rFonts w:asciiTheme="majorBidi" w:hAnsiTheme="majorBidi" w:cstheme="majorBidi" w:hint="cs"/>
          <w:sz w:val="28"/>
          <w:szCs w:val="28"/>
          <w:rtl/>
          <w:lang w:bidi="ar-IQ"/>
        </w:rPr>
      </w:pP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مصادر الثروة القومية من جهة أخرى، تعد عصب هذا البنيان بل أدق </w:t>
      </w:r>
      <w:proofErr w:type="spellStart"/>
      <w:r w:rsidRPr="00005B2B">
        <w:rPr>
          <w:rFonts w:asciiTheme="majorBidi" w:hAnsiTheme="majorBidi" w:cstheme="majorBidi"/>
          <w:sz w:val="28"/>
          <w:szCs w:val="28"/>
          <w:rtl/>
          <w:lang w:bidi="ar-IQ"/>
        </w:rPr>
        <w:t>عناصره،لذلك</w:t>
      </w:r>
      <w:proofErr w:type="spellEnd"/>
      <w:r w:rsidRPr="00005B2B">
        <w:rPr>
          <w:rFonts w:asciiTheme="majorBidi" w:hAnsiTheme="majorBidi" w:cstheme="majorBidi"/>
          <w:sz w:val="28"/>
          <w:szCs w:val="28"/>
          <w:rtl/>
          <w:lang w:bidi="ar-IQ"/>
        </w:rPr>
        <w:t xml:space="preserve"> كان من الواجب ضمان حماية دستورية فعالة في مجال اكتسابها، وعلى النحو الذي يضمن حمايتها وتحميلها بالقيود وانتقالها ونزعها أو والاستيلاء عليها،(19)وكان ذلك بعد تعرض الملكية الخاصة في مصر لهجمة شرسة بعد ثورة (23) يوليو 1952،حين قرر قادة الثورة التحول بالاقتصاد المصري من الرأسمالية للاشتراكية، إذ رافق هذا التحول حركة واسعة من الانتهاكات الصارخة على الملكية الفردية والتي عرفت آنذاك (بسلسلة قوانين يوليو الاشتراكية)، وصدر استنادَا لها أكبر سلسلة من قرارات المصادرة والتأميم وفرض الحراسة على الملكية الخاصة والتي أشرنا لبعضها سابقًا، وهذا ما أدى لتدمير الاقتصاد القومي، وخلخلة البنية الاقتصادية والاجتماعية للمجتمع المصري، الأمر الذي أدى إلى هروب الغالبية العظمى من الاستثمارات الوطنية والأجنبية للخارج، ولذلك حرص دستور 1971والدساتير اللاحقة له على حماية الملكية الخاصة، وأبعاد يد الدولة عن العبث بها وبحياة أصحابها(20).</w:t>
      </w:r>
    </w:p>
    <w:p w:rsidR="00005B2B" w:rsidRDefault="00005B2B" w:rsidP="00005B2B">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sz w:val="28"/>
          <w:szCs w:val="28"/>
          <w:rtl/>
          <w:lang w:bidi="ar-IQ"/>
        </w:rPr>
        <w:t xml:space="preserve">           ولم تغفل الدساتير العراقية النص على حماية حق الملكية كسابقها من الدساتير المقارنة، إذ أولت الدساتير المتعاقبة منذ القانون الأساسي العراقي 1925الاهتمام بحق الملكية الخاصة في النصوص الدستورية، و أشار إلى((حقوق التملك مصونة، فلا يجوز فرض القيود الإجبارية، ولا حجز الأموال والأملاك، ولا مصادرة المواد المصنوعة، إلا بمقتضى القانون، أما السخرة المجانية، والمصادر العامة للأموال المنقولة وغير المنقولة، فمنوعة بتاتًا، ولا ينزع ملك احد إلا لأجل النفع العام، وفي الأحوال وبالطريقة التي يعينها القانون بشرط التعويض عنه تعويضًا عادلًا))،(21)أما الدستور المؤقت لسنة 1958أشار ((الملكية الخاصة مصونة وينظم القانون أداء وظيفتها الاجتماعية ولا تنزع إلا للمنفعة العامة مقابل تعويض عادل وفقاً للقانون))،(22)وبذات الصيغة والنص جاء دستور سنة1963المؤقت كما وأشار إلى أن حق الإرث مكفول وفقًا لأحكام الشريعة الإسلامية،(23)ودستور سنة 1964المؤقت، ودستور سنة 1968وأضافة فقرة جديدة وهي((ج- أن الأشخاص الذين تثبت أدانتهم من محكمة مختصة بجريمة التجسس لحساب الأجنبي أو التآمر على تقويض نظام الحكم التقدمي الاشتراكي وأساسه الاقتصادي والاجتماعي فيجوز مصادرة أموالهم المنقولة وغير المنقولة وقيدها أيردًا للدولة بموجب قانون))،(24)أما دستور سنة1970 نص على((أـ الملكية وظيفة اجتماعية تمارس في حدود أهداف المجتمع، ومنهاج الدولة وفقا لأحكام القانون، ب-الملكية الخاصة والحرية الاقتصادية الفردية مكفولتان في حدود القانون، وعلى أساس عدم استثمارهما فيما يتعارض أو يضر بالتخطيط الاقتصادي العام، ج-لا تنزع الملكية الخاصة إلا لمقتضيات المصلحة العامة ووفق تعويض عادل حسب الأصول التي يحددها القانون))،(25)أما قانون إدارة الدولة للمرحلة الانتقالية أشار إلى((ب- الملكية الخاصّة مصونة فلا يمنع أحد من التصرّف في ملكه إلاّ في حدود القانون، ولا ينزع عن أحد ملكه إلا لأغراض المنفعة العامّة في الأحوال المبينة في القانون وبالكيفية المنصوص عليها فيه، وبشرط</w:t>
      </w:r>
      <w:r w:rsidRPr="00005B2B">
        <w:rPr>
          <w:rFonts w:asciiTheme="majorBidi" w:hAnsiTheme="majorBidi" w:cstheme="majorBidi"/>
          <w:sz w:val="28"/>
          <w:szCs w:val="28"/>
          <w:rtl/>
        </w:rPr>
        <w:t xml:space="preserve"> </w:t>
      </w:r>
      <w:r w:rsidRPr="00005B2B">
        <w:rPr>
          <w:rFonts w:asciiTheme="majorBidi" w:hAnsiTheme="majorBidi" w:cstheme="majorBidi"/>
          <w:sz w:val="28"/>
          <w:szCs w:val="28"/>
          <w:rtl/>
          <w:lang w:bidi="ar-IQ"/>
        </w:rPr>
        <w:t>تعويضه عنه تعويضًاً عادلاً وسريعًاً،(ج) للمواطن العراقي الحق الكامل غير المشروط بالتملّك في كافّة أنحاء العراق بلا قيود))(26)،إلى جانب المصادقة على استمرار عمل بعض الهيئات ومنها (الهيئة العليا لحل النزاعات الملكية العقارية)(27).</w:t>
      </w:r>
    </w:p>
    <w:p w:rsidR="00700197" w:rsidRPr="00005B2B" w:rsidRDefault="00700197" w:rsidP="00005B2B">
      <w:pPr>
        <w:spacing w:after="0" w:line="240" w:lineRule="auto"/>
        <w:jc w:val="both"/>
        <w:rPr>
          <w:rFonts w:asciiTheme="majorBidi" w:hAnsiTheme="majorBidi" w:cstheme="majorBidi"/>
          <w:sz w:val="28"/>
          <w:szCs w:val="28"/>
          <w:rtl/>
          <w:lang w:bidi="ar-IQ"/>
        </w:rPr>
      </w:pP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لم تتباين النصوص الدستورية كثيرًا فيما تعلق بضمان حق الملكية الخاصة، إذ تقاربت في اغلب النواحي، كحماية الملكية الخاصة وعدم انتهاكها والتعويض والمنفعة العامة وحظر المصادرة والتأميم إلا بحكم قضائي أو وفقًا للقانون، هذا خلافًا لدستور العراق لسنة1968 والذي جاء على نقيض الدساتير السابقة وأباح المصادرة بقانون لكل من عارض النظام القائم وبالتالي قيام الانتهاكات الجسيمة على وفق ما سبق الإشارة له، ولحين صدور قانون إدارة الدولة للمرحلة الانتقالية والذي أوجد الأساس لاستمرار الهيئة العليا لحل نزاعات الملكية بعد ما حدث من انتهاكات للملكية الخاصة وسنوضح ذلك في النقطة الثانية، كما أن تدوين حق الملكية الخاصة ضمن النصوص الدستورية هو الوسيلة الوحيدة لإعطاء هذا الحق قيمة اعلى من مما يمنحها التشريع العادي ورفعها إلى قمة الهرم القانوني، فالحقوق التي تنال حماية بواسطة المبادئ الدستورية، عدت حقوق أساسية تعلو على ما دونها من النصوص القانونية الأخرى، سواء نص الدستور عليها صراحة أو استخلصت ضمنًا رغم ورودها في قوانين عادية.(28) </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وفي الواقع أن نشأة الدساتير وصياغة نصوصها على النحو الواضح تشكل ضمانها فعالة من ضمانات حقوق الأنسان، إذا ما عرفنا أن الدساتير لم تأتي إلا بعد كفاح ونضال من قبل الشعوب والتي ساهمت في صراعات طويلة مع الحكام حتى صدرت تلك الدساتير، والتي تؤكد على انتصار الإرادة الشعبية على أرادة الحكام، ومن هنا جاءت الدساتير متضمنة للعديد من المبادئ الدستورية التي تضمن سلطه الحكم الرشيد والتداول السلمي للسلطة وغير ذلك، مما يجعل من الدستور في نهاية الأمر  تعبير عن أرادة الأمة، ولما كان الدستور هو القانون الأعلى والاسمى للدولة، فان النص على حق الملكية الخاصة باعتبارها ضمن الحقوق الواردة في الدستور يمثل ضمانة فعالة  لهذا الحق، لان النص عليه سيجعل منه مبدأ دستوريًا له العلوية على التشريعات التي تدنوه، ويمثل خطابًا للجميع بوجوب احترامه وعدم انتهاكه وعلى رأس المخاطبين المؤسسات الحكومية المختلفة(29)، كما يمثل النص الدستوري بمثابة الحصن والسد الأمين للفرد من استبداد السلطة وتعسفها، إذ يحقق الكرامة سبل الإنسانية وفقًا لمبادئ الديمقراطية التي </w:t>
      </w:r>
      <w:proofErr w:type="spellStart"/>
      <w:r w:rsidRPr="00005B2B">
        <w:rPr>
          <w:rFonts w:asciiTheme="majorBidi" w:hAnsiTheme="majorBidi" w:cstheme="majorBidi"/>
          <w:sz w:val="28"/>
          <w:szCs w:val="28"/>
          <w:rtl/>
          <w:lang w:bidi="ar-IQ"/>
        </w:rPr>
        <w:t>تتطلبها</w:t>
      </w:r>
      <w:proofErr w:type="spellEnd"/>
      <w:r w:rsidRPr="00005B2B">
        <w:rPr>
          <w:rFonts w:asciiTheme="majorBidi" w:hAnsiTheme="majorBidi" w:cstheme="majorBidi"/>
          <w:sz w:val="28"/>
          <w:szCs w:val="28"/>
          <w:rtl/>
          <w:lang w:bidi="ar-IQ"/>
        </w:rPr>
        <w:t xml:space="preserve"> الشعوب.(30)</w:t>
      </w:r>
    </w:p>
    <w:p w:rsidR="00005B2B" w:rsidRPr="00005B2B" w:rsidRDefault="00005B2B" w:rsidP="00005B2B">
      <w:pPr>
        <w:spacing w:after="0" w:line="240" w:lineRule="auto"/>
        <w:jc w:val="center"/>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الفرع الثاني</w:t>
      </w:r>
    </w:p>
    <w:p w:rsidR="00005B2B" w:rsidRPr="00005B2B" w:rsidRDefault="00005B2B" w:rsidP="00005B2B">
      <w:pPr>
        <w:spacing w:after="0" w:line="240" w:lineRule="auto"/>
        <w:jc w:val="center"/>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حق الملكية الخاصة وفق النصوص الدستورية النافذة</w:t>
      </w:r>
    </w:p>
    <w:p w:rsidR="00700197" w:rsidRDefault="00005B2B" w:rsidP="00700197">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sz w:val="28"/>
          <w:szCs w:val="28"/>
          <w:rtl/>
          <w:lang w:bidi="ar-IQ"/>
        </w:rPr>
        <w:t xml:space="preserve">            على خطى الدساتير الملغاة أشارت الدساتير النافذة إلى مبدأ صون الملكية الخاصة، فسار دستور فرنسا لسنة1958المعدل على هدى المبادئ الواردة في إعلان حقوق الأنسان والمواطن الفرنسي، والتأكيد عليها في الديباجة،(31) الأمر الذي ضمن للحق الحماية الكافية بعد الانتهاكات السابقة في القانون الفرنسي القديم التي طالت حق الأفراد في التملك. وهذا ما أكده أيضًا دستور مصر لسنة2014 المعدل وعلى وفق النص((الملكية الخاصة مصونة، وحق الإرث فيها مكفول، ولا يجوز فرض الحراسة عليها إلا في الأحوال المبينة في القانون، وبحكم قضائي، ولا تنزع الملكية إلا للمنفعة العامة ومقابل تعويض عادل يدفع مقدمًا وفقا للقانون))،(32)وأشار لحظر المصادرة إلا ما كان منها بحكم قضائي،(33)ومن ثم لا يجوز مصادرة الملكية أو تأميمها وفرض الحراسة عليها، إذ أن المصادرة العامة محظورة والخاصة لا تجوز إلا بحكم قضائي، كما لا تجوز المصادرة بالطرق الإدارية،(34)إذ أكدت </w:t>
      </w:r>
    </w:p>
    <w:p w:rsidR="00700197" w:rsidRDefault="00700197" w:rsidP="00700197">
      <w:pPr>
        <w:spacing w:after="0" w:line="240" w:lineRule="auto"/>
        <w:jc w:val="both"/>
        <w:rPr>
          <w:rFonts w:asciiTheme="majorBidi" w:hAnsiTheme="majorBidi" w:cstheme="majorBidi" w:hint="cs"/>
          <w:sz w:val="28"/>
          <w:szCs w:val="28"/>
          <w:rtl/>
          <w:lang w:bidi="ar-IQ"/>
        </w:rPr>
      </w:pPr>
    </w:p>
    <w:p w:rsidR="00700197" w:rsidRDefault="00005B2B" w:rsidP="00700197">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sz w:val="28"/>
          <w:szCs w:val="28"/>
          <w:rtl/>
          <w:lang w:bidi="ar-IQ"/>
        </w:rPr>
        <w:t>المحكمة الدستورية على مبدأ صون الملكية الخاصة وحمايتها، على النحو الذي يتوافق والنصوص الدستورية.(35)</w:t>
      </w:r>
      <w:r w:rsidR="00700197">
        <w:rPr>
          <w:rFonts w:asciiTheme="majorBidi" w:hAnsiTheme="majorBidi" w:cstheme="majorBidi" w:hint="cs"/>
          <w:sz w:val="28"/>
          <w:szCs w:val="28"/>
          <w:rtl/>
          <w:lang w:bidi="ar-IQ"/>
        </w:rPr>
        <w:t xml:space="preserve"> </w:t>
      </w:r>
      <w:r w:rsidRPr="00005B2B">
        <w:rPr>
          <w:rFonts w:asciiTheme="majorBidi" w:hAnsiTheme="majorBidi" w:cstheme="majorBidi"/>
          <w:sz w:val="28"/>
          <w:szCs w:val="28"/>
          <w:rtl/>
          <w:lang w:bidi="ar-IQ"/>
        </w:rPr>
        <w:t>أما الدستور العراق النافذ نص على((أولًا: الملكية الخاصة مصونة ويحق للمالك الانتفاع بها واستغلالها والتصرف بها في حدود القانون، ثانيًا: لا يجوز نزع الملكية إلا لأغراض المنفعة العامة مقابل تعويض عادل، وينظم ذلك بقانون، ثالثًا: أـ للعراقي الحق في التملك في أي مكان في العراق، ولا يجوز لغيره تملك غير المنقول إلا ما استثني بقانون، ب. يحظر التملك لأغراض التغيير السكاني))(36).</w:t>
      </w:r>
      <w:r w:rsidR="00700197">
        <w:rPr>
          <w:rFonts w:asciiTheme="majorBidi" w:hAnsiTheme="majorBidi" w:cstheme="majorBidi" w:hint="cs"/>
          <w:sz w:val="28"/>
          <w:szCs w:val="28"/>
          <w:rtl/>
          <w:lang w:bidi="ar-IQ"/>
        </w:rPr>
        <w:t xml:space="preserve"> </w:t>
      </w:r>
      <w:r w:rsidRPr="00005B2B">
        <w:rPr>
          <w:rFonts w:asciiTheme="majorBidi" w:hAnsiTheme="majorBidi" w:cstheme="majorBidi"/>
          <w:sz w:val="28"/>
          <w:szCs w:val="28"/>
          <w:rtl/>
          <w:lang w:bidi="ar-IQ"/>
        </w:rPr>
        <w:t>واستنادًا لما شهده حق الملكية الخاصة من اعتداءات سلبت حق الأفراد في الملكية من خلال قرارات مجلس قيادة الثورة(المنحل)، مما شهد صدور عدد من القرارات والتي صادرت ملكية الأفراد، فضلًا عن الاستملاك والتطهير العرقي وإطفاء حق التصرف وسحب العقار والبيع بالإكراه، وأمتد هذا الانتهاك لكافة محافظات العراق، وفي مجال دعم النص الدستوري وترسيخ حماية دستورية فعالة أكثر أسهم دستور العراق النافذ استمرار عمل هيئة دعاوى الملكية المنصوص عليها في قانون إدارة الدولة الانتقالية لضمان من انتهك حقة في ظل النظام السابق وفق ما أشار له((تواصل هيئة دعاوى الملكية أعمالها بوصفها هيئة مستقلة بالتنسيق مع السلطة القضائية والأجهزة التنفيذية وفقًا لقانون وترتبط بمجلس النواب))(37).  ومما سبق ذكره، تحدثنا عن أهمية النص الدستوري ودوره في إرساء حق الملكية الخاصة وضمان ما يكفي من الحماية، وهنا لا نغفل الإشارة إلى أن تعديل بعض النصوص الدستورية لها الأثر في حماية الملكية الخاصة، ومن ذلك تعديل الدستور المصري، إذ نص على ((يعين القانون الحد الأقصى للملكية الزراعية بما يضمن حماية الفلاح والعامل الزراعي من الاستغلال وبما يؤكد سلطة تحالف قوى الشعب العاملة على مستوى القرية))</w:t>
      </w:r>
      <w:r w:rsidRPr="00005B2B">
        <w:rPr>
          <w:rFonts w:asciiTheme="majorBidi" w:hAnsiTheme="majorBidi" w:cstheme="majorBidi"/>
          <w:sz w:val="28"/>
          <w:szCs w:val="28"/>
          <w:vertAlign w:val="superscript"/>
          <w:rtl/>
          <w:lang w:bidi="ar-IQ"/>
        </w:rPr>
        <w:t>(38)</w:t>
      </w:r>
      <w:r w:rsidRPr="00005B2B">
        <w:rPr>
          <w:rFonts w:asciiTheme="majorBidi" w:hAnsiTheme="majorBidi" w:cstheme="majorBidi"/>
          <w:sz w:val="28"/>
          <w:szCs w:val="28"/>
          <w:rtl/>
          <w:lang w:bidi="ar-IQ"/>
        </w:rPr>
        <w:t>.  ومن استقراء النص أنف الذكر يتضح أن المشرع أحال تعين الحد الأقصى للملكية الزراعية إلى المشرع العادي مع مراعاة الضوابط الدستورية المذكورة في النص والتي تمثلت بضمان حماية الفلاح والعامل الزراعي من الاستغلال والتأكيد على سلطة  تحالف قوى الشعب العاملة؛ والإشارة إلى هذه السلطة تحدد في ضوء الإطار العام لفلسفة النظام الاقتصادي الذي كان يعتنقه الدستور المصري لسنة 1971 وأكد وفي أكثر من مادة على النظام الاشتراكي الديمقراطي الذي كان يعتنقه الدستور، وبعد تعديل النص قلل المشرع الدستوري القيود التي يلزم المشرع العادي بمراعاتها عند تحديد الحد الأقصى للملكية الزراعية(39) وعلى النحو الاتي((يعين القانون الحد الأقصى للملكية الزراعية بما يضمن حماية الفلاح والعامل الزراعي من الاستغلال))(40)، إذ رفع قيد التأكيد على سلطة تحالف قوى الشعب، وجاء هذا النص متفقًا مع أهمية حق الملكية الخاصة بعدها مصدر رئيسي للثروة القومية في البلاد، كما عبر التعديل بوضوح عن التلازم الوطيد بين المفاهيم القانونية والفلسفية الاقتصادية التي تؤمن بها الدولة، وهذا يؤكد التحول الجوهري في المفهوم القانوني لحق الملكية الخاصة، ومرد ذلك حصول تغير أساسي في الفلسفة الاقتصادية للدولة نحو الأخذ المذهب الاقتصادي الحر(41).</w:t>
      </w:r>
      <w:r w:rsidR="00700197">
        <w:rPr>
          <w:rFonts w:asciiTheme="majorBidi" w:hAnsiTheme="majorBidi" w:cstheme="majorBidi" w:hint="cs"/>
          <w:sz w:val="28"/>
          <w:szCs w:val="28"/>
          <w:rtl/>
          <w:lang w:bidi="ar-IQ"/>
        </w:rPr>
        <w:t xml:space="preserve"> </w:t>
      </w:r>
      <w:r w:rsidRPr="00005B2B">
        <w:rPr>
          <w:rFonts w:asciiTheme="majorBidi" w:hAnsiTheme="majorBidi" w:cstheme="majorBidi"/>
          <w:sz w:val="28"/>
          <w:szCs w:val="28"/>
          <w:rtl/>
          <w:lang w:bidi="ar-IQ"/>
        </w:rPr>
        <w:t xml:space="preserve"> أما في الدساتير العراقية المتعاقبة فقد طرأ تعديلات على دستورين، وهما القانون الأساسي العراقي لسنة1925، والذي نص على ((حقوق الملكية مصونة، فلا يجوز فرض القيود الإجبارية، ولا حجز الأموال والأملاك، ولا مصادرة المواد المصنوعة، إلا بمقتضى القانون، أما السخرة المجانية، والمصادر العامة للأموال المنقولة وغير المنقولة، فمنوعة بتاتًا، ولا ينزع ملك احد إلا لأجل</w:t>
      </w:r>
    </w:p>
    <w:p w:rsidR="00700197" w:rsidRDefault="00700197" w:rsidP="00700197">
      <w:pPr>
        <w:spacing w:after="0" w:line="240" w:lineRule="auto"/>
        <w:jc w:val="both"/>
        <w:rPr>
          <w:rFonts w:asciiTheme="majorBidi" w:hAnsiTheme="majorBidi" w:cstheme="majorBidi" w:hint="cs"/>
          <w:sz w:val="28"/>
          <w:szCs w:val="28"/>
          <w:rtl/>
          <w:lang w:bidi="ar-IQ"/>
        </w:rPr>
      </w:pPr>
    </w:p>
    <w:p w:rsidR="00005B2B" w:rsidRPr="00005B2B" w:rsidRDefault="00005B2B" w:rsidP="00700197">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النفع العام، وفي الأحوال وبالطريقة التي يعينها القانون بشرط التعويض عنه تعويضًا عادلًا)) ، وعدل هذا النص، ليصبح((حقوق الملكية مصونه، فلا ينزع ملك أحد أو ماله، إلا لأجل النفع العام وفي الأحوال والطريقة التي يعينها القانون وبشرط التعويض عنه تعويضًا عادلًا، ولا يجوز فرض القروض الإجبارية، ولا حجز الأموال والأملاك ولا مصادرة المواد الممنوعة إلا بمقتضى قانون، السخرة مجانية، والمصادرة العامة للأموال المنقولة وغير المنقولة محرمة بتاتًا))(42)، وباستقراء النصين معًا يلاحظ أن المشرع الدستوري عمد لإحلال (المواد المصنوعة بالمواد الممنوعة)، وأصبحت (السخرة والمصادرة للأموال محرمة بتاتًا) بعدما كانت ممنوعة، ولم يخرج المشرع عن أطار الصفة الاقتصادية للملكية الخاصة(43).</w:t>
      </w:r>
      <w:r w:rsidR="00700197">
        <w:rPr>
          <w:rFonts w:asciiTheme="majorBidi" w:hAnsiTheme="majorBidi" w:cstheme="majorBidi" w:hint="cs"/>
          <w:sz w:val="28"/>
          <w:szCs w:val="28"/>
          <w:rtl/>
          <w:lang w:bidi="ar-IQ"/>
        </w:rPr>
        <w:t xml:space="preserve"> </w:t>
      </w:r>
      <w:r w:rsidRPr="00005B2B">
        <w:rPr>
          <w:rFonts w:asciiTheme="majorBidi" w:hAnsiTheme="majorBidi" w:cstheme="majorBidi"/>
          <w:sz w:val="28"/>
          <w:szCs w:val="28"/>
          <w:rtl/>
          <w:lang w:bidi="ar-IQ"/>
        </w:rPr>
        <w:t xml:space="preserve"> أما الدستور الصادر في21/أيلول/1968 قد نظم الملكية الخاصة وفق النص ((الملكية الخاصة مصونة وينظم القانون أداء وظيفتها الاجتماعية ولا تنزع إلا للمنفعة العامة لقاء تعويض عادل وفقاً للقانون))،(44)وجدير بالإشارة إلى أن ننوه أن الملكية وفق هذا الدستور قد تحولت من وظيفتها الاقتصادية إلى وظيفة اجتماعية، تخضع لرؤيه مختلفة في فهم الملكية الخاصة تنأى بها عن طبيعتها لأسباب بحتة، وبتعديل النص أضيفت إلى المادة فقرة جديدة تنص على((الأشخاص الذين تثبت أدانتهم من محكمة مختصة بجريمة التجسس لحساب أجنبي أو التآمر على تقويض نظام الحكم التقدمي الاشتراكي وأساسه الاقتصادي والاجتماعي فيجوز مصادرة أموالهم المنقولة وغير المنقولة وقيدها إيرادًا للدولة بموجب القانون))، ووفقًا للنص( أجاز مصادرة ملكية الأموال لمن تثبت أدانه من محكمة مختصة قيامه بالجريمة المذكورة، ويمكن القول أن هذا التعديل جاء لخدمة النظام السابق أنداك، وإعطاء المسوغ الدستوري لانتهاك حقوق المواطنين، والاستيلاء على أموالهم في تلك الحقبة، كما صدر عدد من التشريعات التي تنطوي على انتهاك صريح لحق الملكية وعلى وفق ما تم الإشارة اليه سابقًا، فكان هذا التعديل الدستوري هو بمثابة الالتفاف حول حق الملكية بصدور قوانين مخالفة للنصوص المتعلقة بذات الحق)(45). وبالاطلاع على الدساتير الأخرى شهدنا أن هنالك من الدساتير أعطت التعديلات الدستورية المتعلقة بحق الملكية الخاصة على وجه الخصوص الأولوية والأهمية، ومن ذلك دستور الأمريكي، وللدور المهم لهذه التعديلات في حماية الملكية الخاصة، والحد من سلطة </w:t>
      </w:r>
      <w:proofErr w:type="spellStart"/>
      <w:r w:rsidRPr="00005B2B">
        <w:rPr>
          <w:rFonts w:asciiTheme="majorBidi" w:hAnsiTheme="majorBidi" w:cstheme="majorBidi"/>
          <w:sz w:val="28"/>
          <w:szCs w:val="28"/>
          <w:rtl/>
          <w:lang w:bidi="ar-IQ"/>
        </w:rPr>
        <w:t>الكونكرس</w:t>
      </w:r>
      <w:proofErr w:type="spellEnd"/>
      <w:r w:rsidRPr="00005B2B">
        <w:rPr>
          <w:rFonts w:asciiTheme="majorBidi" w:hAnsiTheme="majorBidi" w:cstheme="majorBidi"/>
          <w:sz w:val="28"/>
          <w:szCs w:val="28"/>
          <w:rtl/>
          <w:lang w:bidi="ar-IQ"/>
        </w:rPr>
        <w:t xml:space="preserve"> والسلطات التشريعية المحلية، خصصنا فقرتين لعرض هذه التعديلات:ـ</w:t>
      </w:r>
    </w:p>
    <w:p w:rsidR="00700197" w:rsidRDefault="00005B2B" w:rsidP="00005B2B">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b/>
          <w:bCs/>
          <w:sz w:val="28"/>
          <w:szCs w:val="28"/>
          <w:rtl/>
          <w:lang w:bidi="ar-IQ"/>
        </w:rPr>
        <w:t xml:space="preserve">أولًا: حماية حق الملكية الخاصة بتنفيذ فقرة الالتزام التعاقدي بين الأفراد: </w:t>
      </w:r>
      <w:r w:rsidRPr="00005B2B">
        <w:rPr>
          <w:rFonts w:asciiTheme="majorBidi" w:hAnsiTheme="majorBidi" w:cstheme="majorBidi"/>
          <w:sz w:val="28"/>
          <w:szCs w:val="28"/>
          <w:rtl/>
          <w:lang w:bidi="ar-IQ"/>
        </w:rPr>
        <w:t xml:space="preserve">أشار الدستور الأمريكي لهذه الفقرة وفق النص((لا يحق لأية ولاية أن تصدر أي قانون من شأنه أضعاف الالتزامات التعاقدية))(46)، وترتبط التزامات العقود بين عدد من الأفراد كالدائن والمدين أو المؤجر والمستأجر والتي تكون على شكل ترتيبات بين هؤلاء، وتعد هذه الفقرة أقوى حماية للملكية الخاصة، ذلك بضمانها التزامات الأفراد وعدم السماح لأية ولاية أصدر القانون الذي يحاول الانتقاص منها أو المساس بها، ومن أحكام المحكمة التي قامت من خلالها على حماية هذه الفقرة حكمها في القضية </w:t>
      </w:r>
      <w:proofErr w:type="spellStart"/>
      <w:r w:rsidRPr="00005B2B">
        <w:rPr>
          <w:rFonts w:asciiTheme="majorBidi" w:hAnsiTheme="majorBidi" w:cstheme="majorBidi"/>
          <w:sz w:val="28"/>
          <w:szCs w:val="28"/>
          <w:lang w:bidi="ar-IQ"/>
        </w:rPr>
        <w:t>Dartemooth</w:t>
      </w:r>
      <w:proofErr w:type="spellEnd"/>
      <w:r w:rsidRPr="00005B2B">
        <w:rPr>
          <w:rFonts w:asciiTheme="majorBidi" w:hAnsiTheme="majorBidi" w:cstheme="majorBidi"/>
          <w:sz w:val="28"/>
          <w:szCs w:val="28"/>
          <w:lang w:bidi="ar-IQ"/>
        </w:rPr>
        <w:t xml:space="preserve"> v. </w:t>
      </w:r>
      <w:proofErr w:type="spellStart"/>
      <w:r w:rsidRPr="00005B2B">
        <w:rPr>
          <w:rFonts w:asciiTheme="majorBidi" w:hAnsiTheme="majorBidi" w:cstheme="majorBidi"/>
          <w:sz w:val="28"/>
          <w:szCs w:val="28"/>
          <w:lang w:bidi="ar-IQ"/>
        </w:rPr>
        <w:t>Couleig</w:t>
      </w:r>
      <w:proofErr w:type="spellEnd"/>
      <w:r w:rsidRPr="00005B2B">
        <w:rPr>
          <w:rFonts w:asciiTheme="majorBidi" w:hAnsiTheme="majorBidi" w:cstheme="majorBidi"/>
          <w:sz w:val="28"/>
          <w:szCs w:val="28"/>
          <w:rtl/>
          <w:lang w:bidi="ar-IQ"/>
        </w:rPr>
        <w:t xml:space="preserve"> والذي جاء فيها((أن تأسيس جامعة خاصة يشكل عقدًا، وبعد صدوره لا يحق لأي ولاية أن تنتقص منه))، ثم صدر التعديل الرابع عشر لسنة(1878)والذي أكد بدورهِ على مبدأ حرية التعاقد والإلزام بإتباع (شرط الوسائل القانونية السلمية) ونص على ((لا يجوز لأي ولاية أن تحرم شخص من حقه في الحياة أو الحرية أو</w:t>
      </w:r>
    </w:p>
    <w:p w:rsidR="00700197" w:rsidRDefault="00700197" w:rsidP="00005B2B">
      <w:pPr>
        <w:spacing w:after="0" w:line="240" w:lineRule="auto"/>
        <w:jc w:val="both"/>
        <w:rPr>
          <w:rFonts w:asciiTheme="majorBidi" w:hAnsiTheme="majorBidi" w:cstheme="majorBidi" w:hint="cs"/>
          <w:sz w:val="28"/>
          <w:szCs w:val="28"/>
          <w:rtl/>
          <w:lang w:bidi="ar-IQ"/>
        </w:rPr>
      </w:pP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الممتلكات دون تطبيق القانون على الوجه الأكمل))،(47)وأشارت المحكمة الاتحادية العليا لتقرير التعديل الأخير في أحد أحكامها((حماية الحرية الواردة في التعديل الرابع عشر لا تعني حماية الفرد من العدوان المادي على شخصه فحسب، وإنما تشمل فوق ذلك حق الفرد في التمتع بثمرات مواهبه واستغلالها بكافة الوسائل المشروعة، وفي أن يعيش ويعمل حيث يشاء مكتسباً قوته بأي طريق مشروع ومتمتعًا في سبيل ذلك بحق الدخول في أي تعاقد يراه ضروريًا ومناسبًا لتحقيق شيء من هذه الأغراض))(48).</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b/>
          <w:bCs/>
          <w:sz w:val="28"/>
          <w:szCs w:val="28"/>
          <w:rtl/>
          <w:lang w:bidi="ar-IQ"/>
        </w:rPr>
        <w:t>ثانيًا: حماية حق الملكية الخاصة بتطبيق فقرة الاستملاك والتعويض العادل للمستملك منه:ـ</w:t>
      </w:r>
      <w:r w:rsidRPr="00005B2B">
        <w:rPr>
          <w:rFonts w:asciiTheme="majorBidi" w:hAnsiTheme="majorBidi" w:cstheme="majorBidi"/>
          <w:sz w:val="28"/>
          <w:szCs w:val="28"/>
          <w:rtl/>
          <w:lang w:bidi="ar-IQ"/>
        </w:rPr>
        <w:t xml:space="preserve"> تمثل هذه الفترة بمثابة وسيلة مهمة واردة في التعديل الخامس عشر بالنص((لن يحرم شخص من حقه في الحياة أو الحرية أو الممتلكات دون إعمال القانون على الوجه الأكمل، كما انه لن يستولى على الممتلكات الخاصة لاستخدامها في الأغراض العامة دونما تعويض عادل))، وفقًا لهذا التعديل تلزم الحكومة بدفع تعويض عادل للأفراد عند قيامها بمصادرة عقارتهم للمنفعة العامة كشق الطرق والشوارع وغيرها، فالعمل الحكومي يعد استيلاء متى ما توفر فيهِ الشرط التي سطرتها المحكمة الاتحادية العليا وفقًا لتفسيراتها(1- أن تستولي الحكومة على الممتلكات فعلياً أو لأن يمنع القانون الاستخدام المنتج للشيء، بصفة دائمة أو مؤقتة،2- أن يكون الاستيلاء الحكومي على الممتلكات الخاصة لأغراض صحية أو أمنية،3- أن يتم الاستيلاء على كل أو ما يقارب الكل من قيمة الملكية،4- أن يكون الاستيلاء الحكومي مبنيًا على شروط غير معقولة وغير متناسبة مع شروط الترخيص لاستخدام الملكية)(49).</w:t>
      </w:r>
    </w:p>
    <w:p w:rsidR="00F456FC" w:rsidRDefault="00005B2B" w:rsidP="00F456FC">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sz w:val="28"/>
          <w:szCs w:val="28"/>
          <w:rtl/>
          <w:lang w:bidi="ar-IQ"/>
        </w:rPr>
        <w:t xml:space="preserve">             ولما تقدم، يتضح أن التعديلات الدستورية الواردة في الدستور الأمريكي أسهمت في حماية ملكيات الأفراد الخاصة، ذلك بمنع سن القوانين التي تتعارض وحق الملكية الخاصة، وذلك لا يعني عدم قدرة المشرع في سن القوانين، بل تكون له سلطة تشريع القوانين لكن على النحو الذي لا يتعارض مع التعديلات الواردة، ومتى خالف القانون ما نص عليهِ الدستور يكون معرضًا للحكم بعدم دستوريهِ، ذلك بهدف حماية حقوق الأفراد وعدم تشريع القوانين المخالفة التي تتجاوز نصوص الدستور منهكة حق الأفراد ومضره بمصالحهم الخاصة.</w:t>
      </w:r>
      <w:r w:rsidR="00F456FC">
        <w:rPr>
          <w:rFonts w:asciiTheme="majorBidi" w:hAnsiTheme="majorBidi" w:cstheme="majorBidi" w:hint="cs"/>
          <w:sz w:val="28"/>
          <w:szCs w:val="28"/>
          <w:rtl/>
          <w:lang w:bidi="ar-IQ"/>
        </w:rPr>
        <w:t xml:space="preserve"> </w:t>
      </w:r>
      <w:r w:rsidRPr="00005B2B">
        <w:rPr>
          <w:rFonts w:asciiTheme="majorBidi" w:hAnsiTheme="majorBidi" w:cstheme="majorBidi"/>
          <w:sz w:val="28"/>
          <w:szCs w:val="28"/>
          <w:rtl/>
          <w:lang w:bidi="ar-IQ"/>
        </w:rPr>
        <w:t>واستنادًا لما تقدم، في مجال دعم وحماية النص الدستوري لحق الملكية الخاصة نجد أن الدساتير في تفصيل حق الملكية الخاصة عمدت لترسيخ حماية الحق وتأكيده بتعاقب الدساتير وهذا ما أكدت عليه النصوص الدستورية؛ إذ نصت على حماية حق الملكية وحرمان شتى صور التعدي عليه، وإلا تنزع الملكية إلا للمنفعة العامة وضمان التعويض العادل للأفراد في حال كان تعويض مسبق لنزع الملكية أو بعد أتخاذ الإجراءات القانونية وعلى وفق ما يشير له النص الدستوري، على أن يتماثل التعويض مع الضرر المترتب عن نزع الملكية ووفقًا للمصلحة العامة، أيضًا حظر المصادرة العامة وفرض الحراسة ألا وفقًا لقانون،  وضمان تملك المواطن لأي مكان في دولته، وأشار الدستور العراقي فضلًا عن ذلك لتشكيل هيئة خاصة مهمتها القيام باسترجاع العقارات المنزوع ملكيتها جراء الانتهاكات التاريخية التي طغت على الحق في الملكية في النظام السابق، مما شكل حماية دستورية متكاملة لحق الملكية، هذا فضلًا عن تعديلات النص الدستوري المتعلق بحق الملكية وما أضاف</w:t>
      </w:r>
      <w:r w:rsidR="00F456FC">
        <w:rPr>
          <w:rFonts w:asciiTheme="majorBidi" w:hAnsiTheme="majorBidi" w:cstheme="majorBidi" w:hint="cs"/>
          <w:sz w:val="28"/>
          <w:szCs w:val="28"/>
          <w:rtl/>
          <w:lang w:bidi="ar-IQ"/>
        </w:rPr>
        <w:t xml:space="preserve"> </w:t>
      </w:r>
    </w:p>
    <w:p w:rsidR="00F456FC" w:rsidRDefault="00F456FC" w:rsidP="00F456FC">
      <w:pPr>
        <w:spacing w:after="0" w:line="240" w:lineRule="auto"/>
        <w:jc w:val="both"/>
        <w:rPr>
          <w:rFonts w:asciiTheme="majorBidi" w:hAnsiTheme="majorBidi" w:cstheme="majorBidi" w:hint="cs"/>
          <w:sz w:val="28"/>
          <w:szCs w:val="28"/>
          <w:rtl/>
          <w:lang w:bidi="ar-IQ"/>
        </w:rPr>
      </w:pPr>
    </w:p>
    <w:p w:rsidR="00F456FC" w:rsidRDefault="00F456FC" w:rsidP="00F456FC">
      <w:pPr>
        <w:spacing w:after="0" w:line="240" w:lineRule="auto"/>
        <w:jc w:val="both"/>
        <w:rPr>
          <w:rFonts w:asciiTheme="majorBidi" w:hAnsiTheme="majorBidi" w:cstheme="majorBidi" w:hint="cs"/>
          <w:sz w:val="28"/>
          <w:szCs w:val="28"/>
          <w:rtl/>
          <w:lang w:bidi="ar-IQ"/>
        </w:rPr>
      </w:pPr>
    </w:p>
    <w:p w:rsidR="00005B2B" w:rsidRPr="00005B2B" w:rsidRDefault="00005B2B" w:rsidP="00F456FC">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من حماية أضافة مهمة لحقوق الأفراد وصون ملكياتهم الخاصة، على نحو يجعلهم في مأمن مما يتخذ بحقهم من مصادرة أو استيلاء على الملكيات الخاصة، ذلك بضمان التعويض العادل والمسبق.</w:t>
      </w:r>
    </w:p>
    <w:p w:rsidR="00005B2B" w:rsidRPr="00005B2B" w:rsidRDefault="00005B2B" w:rsidP="00005B2B">
      <w:pPr>
        <w:spacing w:after="0" w:line="240" w:lineRule="auto"/>
        <w:jc w:val="center"/>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المطلب الثاني</w:t>
      </w:r>
    </w:p>
    <w:p w:rsidR="00005B2B" w:rsidRPr="00005B2B" w:rsidRDefault="00005B2B" w:rsidP="00005B2B">
      <w:pPr>
        <w:spacing w:after="0" w:line="240" w:lineRule="auto"/>
        <w:jc w:val="center"/>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التزامات المشرع العادي قبال النص الدستوري</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تعد النصوص الدستورية الأساس الذي ترتكز عليه الأنشطة القانونية التي تمارسها الدولة، فهي اللبنة الأولى في البناء القانوني للدولة، تتدرج كافة القواعد القانونية الأخرى في ظلها، وبكون الدستور القانون الأسمى والذي تعلو قواعدهِ وأحكامهِ كل ما سواه من قواعد قانونية، واستنادًا لصدور دستور جديد للدولة تفرض بعض الأعمال أو الالتزامات التي يلزم المشرع العادي بالانصياع لها والالتزام بأدائها على تكون جميع الأعمال مستندة وخاضعة للدستور، ومتقيدة بالأحكام الواردة فيه، وبناء على كون الدستور المحدد للإطار العام لنظام الحكم، والضوابط الأساسية لوظيفة الحكم، ومباشرة السلطات في الدولة لأعمالها، ويحدد القيود الضابطة لحركتها، مما يتطلب خضوع السلطات في أعمالها إلى الدستور، وأهمها السلطة التشريعية بكونها السلطة المختصة بإداء هذهِ الالتزامات، فلا يحق لها مخالفة أحكامه، أو الخروج عنها، وإلا أنتفى السند الشرعي لوجودها، ومن الالتزامات الملقاة على عاتق المشرع العادي تجاه النصوص الدستورية الجديدة، واستنادًا لذلك، قسمنا هذا المطلب لثلاث فروع، نوضح في القوانين التزام تشريع القوانين، والفرع الثاني الالتزام بالإطار الذي يحدده الدستور عند تشريع القوانين، والفرع الثالث الالتزام بتحقيق التوازن بين حق الملكية الخاصة والمصلحة العامة، وعلى النحو الآتي:ـ</w:t>
      </w:r>
    </w:p>
    <w:p w:rsidR="00005B2B" w:rsidRPr="00005B2B" w:rsidRDefault="00005B2B" w:rsidP="00005B2B">
      <w:pPr>
        <w:spacing w:after="0" w:line="240" w:lineRule="auto"/>
        <w:jc w:val="center"/>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الفرع الأول</w:t>
      </w:r>
    </w:p>
    <w:p w:rsidR="00005B2B" w:rsidRPr="00005B2B" w:rsidRDefault="00005B2B" w:rsidP="00005B2B">
      <w:pPr>
        <w:spacing w:after="0" w:line="240" w:lineRule="auto"/>
        <w:jc w:val="center"/>
        <w:rPr>
          <w:rFonts w:asciiTheme="majorBidi" w:hAnsiTheme="majorBidi" w:cstheme="majorBidi"/>
          <w:sz w:val="28"/>
          <w:szCs w:val="28"/>
          <w:rtl/>
          <w:lang w:bidi="ar-IQ"/>
        </w:rPr>
      </w:pPr>
      <w:r w:rsidRPr="00005B2B">
        <w:rPr>
          <w:rFonts w:asciiTheme="majorBidi" w:hAnsiTheme="majorBidi" w:cstheme="majorBidi"/>
          <w:b/>
          <w:bCs/>
          <w:sz w:val="28"/>
          <w:szCs w:val="28"/>
          <w:rtl/>
          <w:lang w:bidi="ar-IQ"/>
        </w:rPr>
        <w:t>الالتزام بتشريع القوانين</w:t>
      </w:r>
    </w:p>
    <w:p w:rsidR="00F456FC" w:rsidRDefault="00005B2B" w:rsidP="00F456FC">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sz w:val="28"/>
          <w:szCs w:val="28"/>
          <w:rtl/>
          <w:lang w:bidi="ar-IQ"/>
        </w:rPr>
        <w:t xml:space="preserve">           يعد التشريع الوظيفة الأساسية للبرلمان من الحقائق الثابتة لدى فقهاء القانون، وأن الهدف وراء تأسيس مجالس الشعب أو الأمة أو البرلمان هو تشريع القوانين إلى جانب سلطة الرقابة ويعد حق تشريع القوانين من أهم الاختصاصات التي تناط بهذه المجالس، وهذه سبب تسمية هذه السلطة بالسلطة التشريعية، لما يعود لها من حق تشريع القوانين بما تمتلكهُ من سلطة تخولها ذلك،(50)ويقصد بالتشريع(القواعد القانونية التي تسنها السلطة التشريعية في الدولة بمقتضى مالها من حقه منحه إياها الدستور)، فالقوانين التي تسنها السلطة التشريعية وفي حدود اختصاصها المنصوص عليه في الدستور يطلع عليها التشريع العادي، ويأتي التشريع العادي في المرتبة التي تلي التشريع الدستوري، لذا لابد من موافقة أحكام التشريع العادي للأحكام الدستورية انسجامًا مع تسلسل الهرم القانوني، ومن ثم يأتي التشريع الفرعي الذي تسنه السلطة التنفيذية لتسهيل تنفيذ أحكام القوانين التي تسنها السلطة التشريعية ويتضمن القرارات والأنظمة.(51)  ولتحقيق التوازن بين كل من السلطة التشريعية والتنفيذية كفل الدستور حق السلطة التنفيذية في وضع مشروعات القوانين ثم عرضها على السلطة التشريعية لإعطاء الرأي فيها أو تعديلها والتصويت عليها،(52) وبهذا الأمر يتحقق التعاون والتوازن بين السلطتين وعدم خلق سلطتين متخاصمتين داخل المجلس النيابي في آن واحد، وهذا ما سارت عليهِ الأنظمة المقارنة(53)، ويمكن الاستدلال على مهمة السلطة التشريعية في تشريع القوانين بالنصوص الدستورية، فالدستور الفرنسي منح </w:t>
      </w:r>
    </w:p>
    <w:p w:rsidR="00F456FC" w:rsidRDefault="00F456FC" w:rsidP="00F456FC">
      <w:pPr>
        <w:spacing w:after="0" w:line="240" w:lineRule="auto"/>
        <w:jc w:val="both"/>
        <w:rPr>
          <w:rFonts w:asciiTheme="majorBidi" w:hAnsiTheme="majorBidi" w:cstheme="majorBidi" w:hint="cs"/>
          <w:sz w:val="28"/>
          <w:szCs w:val="28"/>
          <w:rtl/>
          <w:lang w:bidi="ar-IQ"/>
        </w:rPr>
      </w:pPr>
    </w:p>
    <w:p w:rsidR="00005B2B" w:rsidRPr="00005B2B" w:rsidRDefault="00005B2B" w:rsidP="00F456FC">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إقرار القوانين للبرلمان، إلى جانب إعطاء رئيس الوزراء وأعضاء البرلمان المبادرة بالتشريع(54)، أما الدستور المصري فأشار إلى منح مجلس النواب سلطة التشريع ، فضلًا عن إعطاء رئيس الجمهورية، ومجلس الوزراء، ولكل عضو في مجلس النواب اقتراح القوانين(55).</w:t>
      </w:r>
      <w:r w:rsidR="00F456FC">
        <w:rPr>
          <w:rFonts w:asciiTheme="majorBidi" w:hAnsiTheme="majorBidi" w:cstheme="majorBidi" w:hint="cs"/>
          <w:sz w:val="28"/>
          <w:szCs w:val="28"/>
          <w:rtl/>
          <w:lang w:bidi="ar-IQ"/>
        </w:rPr>
        <w:t xml:space="preserve"> </w:t>
      </w:r>
      <w:r w:rsidRPr="00005B2B">
        <w:rPr>
          <w:rFonts w:asciiTheme="majorBidi" w:hAnsiTheme="majorBidi" w:cstheme="majorBidi"/>
          <w:sz w:val="28"/>
          <w:szCs w:val="28"/>
          <w:rtl/>
          <w:lang w:bidi="ar-IQ"/>
        </w:rPr>
        <w:t>أما في الدستور العراقي فيكون تشريع القوانين من قبل السلطة التشريعية،(56)فعملية التشريع تمر بعدة مراحل لغرض إقرار قانون ما، بدًأ بمرحلة اقتراح القوانين، ثم إقرار المجلس للتشريع وينطوي على هذه المرحلة المداولة ثم التصويت من قبل المجلس على القانون المعروض وبالأغلبية المحددة دستوريًا.(57).</w:t>
      </w:r>
    </w:p>
    <w:p w:rsidR="00F456FC" w:rsidRDefault="00005B2B" w:rsidP="00F456FC">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sz w:val="28"/>
          <w:szCs w:val="28"/>
          <w:rtl/>
          <w:lang w:bidi="ar-IQ"/>
        </w:rPr>
        <w:t xml:space="preserve">            وفي مجال ما تعلق بحق الملكية الخاصة وتشريع القانون يلاحظ أن المشرع المقارن والعراقي لم يسعى لتشريع قوانين جديدة وفق الدساتير التي صدرت مؤخرًا وأكتفى بالقوانين التي سبقت وجود الدستور، استدلالًا بنص الدستور الجديد الذي أكد على استمرار القوانين التي سبقت صدور الدستور، بدليل النص((كل ما قررته القوانين واللوائح من أحكام قبل صدور الدستور، يبقى نافذاً، ولا يجوز تعديلها، ولا إلغاؤها إلا وفقاً للقواعد، والإجراءات المقررة في الدستور</w:t>
      </w:r>
      <w:r w:rsidRPr="00005B2B">
        <w:rPr>
          <w:rFonts w:asciiTheme="majorBidi" w:hAnsiTheme="majorBidi" w:cstheme="majorBidi"/>
          <w:sz w:val="28"/>
          <w:szCs w:val="28"/>
          <w:rtl/>
        </w:rPr>
        <w:t xml:space="preserve"> </w:t>
      </w:r>
      <w:r w:rsidRPr="00005B2B">
        <w:rPr>
          <w:rFonts w:asciiTheme="majorBidi" w:hAnsiTheme="majorBidi" w:cstheme="majorBidi"/>
          <w:sz w:val="28"/>
          <w:szCs w:val="28"/>
          <w:rtl/>
          <w:lang w:bidi="ar-IQ"/>
        </w:rPr>
        <w:t>وتلتزم الدولة بإصدار القوانين المنفذة لأحكام هذا الدستور))(58)، والنص ((تبقى التشريعات النافذة معمولًا بها، ما لم تلغى أو تعدل وفقًا لأحكام هذا الدستور))(59).  وبالرجوع للنصوص الدستورية الجديدة يلاحظ أنها أشارت إلى أن ينظم بقانون لما يتعلق بنزع الملكية للمنفعة العامة والتعويض العادل، وأكتفى المشرع العادي بالقوانين السابقة كقانون الاستملاك وقوانين نزع الملكية الأخرى، دون الحرص على تشريع قوانين جديدة، لعلها تضيف مزيدًا من الضمانات التي تكفل ملكيات الأفراد الخاصة، وإلى جانب ذلك قد يضيف الدستور استمرار عمل الهيئات المتعلقة بالملكية الخاصة السابقة لصدوره ومواصلة أعمالها في ظل الدستور الجديد، وهذا ما أشار لهُ الدستور العراقي وفق النص((ولاً/ تواصل هيئة دعاوى الملكية أعمالها بوصفها هيئة مستقلة بالتنسيق مع السلطة القضائية والأجهزة التنفيذية وفقا للقانون وترتبط بمجلس النواب))، ولإكمال الهيئة إعمالها والاستمرار بمعالجة حالات الانتهاك القسرية التي عانى منها الشعب العراقي، تم تشريع قانون هيئة حل نزاعات الملكية العقارية رقم(2) لسنة 2006، ولما كان يعانيهِ هذا القانون من نقص وقصور تشريعي، ثم إلغاءهُ بتشريع قانون جديد يحل محلهُ وهو قانون هيئة دعاوى الملكية رقم(13) لسنة 2010، مع بقاء التعليمات الصادرة بموجب قانون هيئة حل نزاعات الملكية العقارية نافذة لحين صدور ما يحل محلها أو يلغيها.</w:t>
      </w:r>
      <w:r w:rsidR="00F456FC">
        <w:rPr>
          <w:rFonts w:asciiTheme="majorBidi" w:hAnsiTheme="majorBidi" w:cstheme="majorBidi" w:hint="cs"/>
          <w:sz w:val="28"/>
          <w:szCs w:val="28"/>
          <w:rtl/>
          <w:lang w:bidi="ar-IQ"/>
        </w:rPr>
        <w:t xml:space="preserve"> </w:t>
      </w:r>
      <w:r w:rsidRPr="00005B2B">
        <w:rPr>
          <w:rFonts w:asciiTheme="majorBidi" w:hAnsiTheme="majorBidi" w:cstheme="majorBidi"/>
          <w:sz w:val="28"/>
          <w:szCs w:val="28"/>
          <w:rtl/>
          <w:lang w:bidi="ar-IQ"/>
        </w:rPr>
        <w:t xml:space="preserve"> وهذا يؤكد حقيقية اهتمام السلطة التشريعية بإداء الالتزام الواجب عليها دستوريًا  بتشريع القوانين العادية التي تسهم باستمرار الحماية المفروضة للملكية الخاصة بعد أن شهدت حقبة من الاعتداءات التي سلبت حق الأفراد في الملكية الخاصة، من خلال قرارات مجلس قيادة الثورة(المنحل)، مما شهد صدور عدد من القرارات والتي صادرت ملكية الأفراد، فضلًا عن الاستملاك والتطهير العرقي وإطفاء حق التصرف وسحب العقار والبيع بالإكراه وحجز العقار، وأمتد هذا الانتهاك لكافة محافظات العراق، وبتشريع قوانين لها الدور في حماية حق الملكية الخاصة لم تجعل الأمر مقتصرًا على منع المصادرة أو الاستيلاء بغير تعويض عادل، أنما أمتد تنظيم النص لرد الملكية المنزعة جبرًا لأصحابها، ذلك بتأسيس الهيئة العليا لحل نزاعات الملكية العقارية، ويعد قانون أدارة الدولة للفترة الانتقالية قد أنشأ السند الدستوري والقانوني لتأسيس الهيئة، إذ نص على((أن تأسيس الهيئات الوطنية مثل </w:t>
      </w:r>
    </w:p>
    <w:p w:rsidR="00F456FC" w:rsidRDefault="00F456FC" w:rsidP="00F456FC">
      <w:pPr>
        <w:spacing w:after="0" w:line="240" w:lineRule="auto"/>
        <w:jc w:val="both"/>
        <w:rPr>
          <w:rFonts w:asciiTheme="majorBidi" w:hAnsiTheme="majorBidi" w:cstheme="majorBidi" w:hint="cs"/>
          <w:sz w:val="28"/>
          <w:szCs w:val="28"/>
          <w:rtl/>
          <w:lang w:bidi="ar-IQ"/>
        </w:rPr>
      </w:pPr>
    </w:p>
    <w:p w:rsidR="00005B2B" w:rsidRPr="00005B2B" w:rsidRDefault="00005B2B" w:rsidP="00F456FC">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الهيئة الوطنية للنزاهة العامة والهيئة العليا لحل نزاعات الملكية العقارية والهيئة الوطنية العليا لاجتثاث البعث يعد مصدقًا عليه..))،(60)وفضلًا عن ذلك أشار قانون أدارة الدولة للمرحلة الانتقالية لواجبات الهيئة ودورها في معالجة قضايا التطهير العرقي وعلى وجه الخصوص في محافظة كركوك، ومنها ((أ- تقوم الحكومة العراقية الانتقالية ولاسيما الهيئة العليا لحلّ النزاعات الملكية العقارية وغيرها من الجهات ذات العلاقة، وعلى وجه السرعة، باتخاذ تدابير، من أجل رفع الظلم الذي سبّبته ممارسات النظام السابق والمتمثّلة بتغيير الوضع السكاني لمناطق معيّنة من ضمنها كركوك، من خلال ترحيل ونفي الأفراد من أماكن سكناهم، ومن خلال الهجرة القسرية من داخل المنطقة وخارجها، وتوطين الأفراد الغرباء عن المنطقة، وحرمان السكان من العمل، ومن خلال تصحيح القومية، ولمعالجة هذا الظلم، على الحكومة الانتقالية العراقية اتخاذ الخطوات التالية:</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1 ـ فيما يتعلّق بالمقيمين المرحّلين والمنفيين والمهجرين والمهاجرين، وانسجامًا مع قانون الهيئة العليا لحلّ نزاعات الملكية العقارية، والإجراءات القانونية الأخرى، على الحكومة القيام خلال فترةٍ معقولةٍ، بإعادة المقيمين إلى منازلهم وممتلكاتهم وإذا تعذّر ذلك، على الحكومة تعويضهم تعويضاً عادلاً.</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2 ـ بشأن الأفراد الذين تمّ نقلهم إلى مناطقٍ وأراضٍ معيّنةٍ، وعلى الحكومة البت في أمرهم حسب المادّة (10)(61) من قانون الهيئة العليا لحلّ النزاعات الملكية العقارية، لضمان إمكانية إعادة توطينهم، أو لضمان إمكانية تلقّي تعويضات من الدولة، أو إمكانية تسلمهم لأراضٍ جديدةٍ من الدولة قرب مقرّ إقامتهم في المحافظة التي قدموا منها، أو إمكانية تلقّيهم تعويضاً عن تكاليف انتقالهم إلى تلك المناطق)).(62)</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يتضح مما سبق أن قانون أدارة الدولة للمرحلة الانتقالية قد أشار وبشكل صريح لشرعية تشكيل الهيئة وقيام الأساس الدستوري لأداء أعمالها على الوجه الذي يضمن شرعية قراراتها وإلزاميتها في جبر اعتداءات النظام السابق، كما وتعد اللائحة التنظيمية رقم(4) لسنة 2003 التي أصدرتها سلطة الإتلاف بمثابة المحاولة الأولى في تأسيس الهيئة لمعالجة حالة الانتهاكات التي رافقت حق الملكية طلية فترة النظام السابق، وتعاقب على تنظيم الهيئة عدة قوانين بدًأ باللائحة التنظيمية رقم (4)، وختامًا بقانون هيئة دعاوى الملكية رقم(13)لسنة 2010 الأمر الذي سنعمد لتوضيحه في المطلب اللاحق، وعلى الرغم من تأكيد دستور 2005على استمرار عمل الهيئة، ومنح مجلس النواب صلاحية حلها بأغلبية ثلثي أعضائه،(63) إلا أنه أغفل الإشارة للحالات التي يتم من خلالها حل الهيئة كانتهائها من أعمالها أو حالة أخرى، وتأسيسًا على ما ذكر أدى مجلس النواب بعض الأعمال الملقاة على عاتقة بمواصلة الهيئة أعمالها وتشريع القوانين التي تكفل استمراريتها، ليصبح للهيئة شرعية قانونية تستند عليها إلى جانب الشرعية الدستورية، وبالشكل الذي يكفل استقلاليتها توافقا مع طبيعة الواجبات التي تقوم بها وانسجامًا مع توجه الدستور في معالجة أثار النظام السابق ورد الحقوق لأصحابها.(64)</w:t>
      </w:r>
    </w:p>
    <w:p w:rsidR="00005B2B" w:rsidRDefault="00005B2B" w:rsidP="00005B2B">
      <w:pPr>
        <w:spacing w:after="0" w:line="240" w:lineRule="auto"/>
        <w:jc w:val="both"/>
        <w:rPr>
          <w:rFonts w:asciiTheme="majorBidi" w:hAnsiTheme="majorBidi" w:cstheme="majorBidi" w:hint="cs"/>
          <w:sz w:val="28"/>
          <w:szCs w:val="28"/>
          <w:rtl/>
          <w:lang w:bidi="ar-IQ"/>
        </w:rPr>
      </w:pPr>
    </w:p>
    <w:p w:rsidR="00F456FC" w:rsidRDefault="00F456FC" w:rsidP="00005B2B">
      <w:pPr>
        <w:spacing w:after="0" w:line="240" w:lineRule="auto"/>
        <w:jc w:val="both"/>
        <w:rPr>
          <w:rFonts w:asciiTheme="majorBidi" w:hAnsiTheme="majorBidi" w:cstheme="majorBidi" w:hint="cs"/>
          <w:sz w:val="28"/>
          <w:szCs w:val="28"/>
          <w:rtl/>
          <w:lang w:bidi="ar-IQ"/>
        </w:rPr>
      </w:pPr>
    </w:p>
    <w:p w:rsidR="00F456FC" w:rsidRDefault="00F456FC" w:rsidP="00005B2B">
      <w:pPr>
        <w:spacing w:after="0" w:line="240" w:lineRule="auto"/>
        <w:jc w:val="both"/>
        <w:rPr>
          <w:rFonts w:asciiTheme="majorBidi" w:hAnsiTheme="majorBidi" w:cstheme="majorBidi" w:hint="cs"/>
          <w:sz w:val="28"/>
          <w:szCs w:val="28"/>
          <w:rtl/>
          <w:lang w:bidi="ar-IQ"/>
        </w:rPr>
      </w:pPr>
    </w:p>
    <w:p w:rsidR="00F456FC" w:rsidRPr="00005B2B" w:rsidRDefault="00F456FC" w:rsidP="00005B2B">
      <w:pPr>
        <w:spacing w:after="0" w:line="240" w:lineRule="auto"/>
        <w:jc w:val="both"/>
        <w:rPr>
          <w:rFonts w:asciiTheme="majorBidi" w:hAnsiTheme="majorBidi" w:cstheme="majorBidi"/>
          <w:sz w:val="28"/>
          <w:szCs w:val="28"/>
          <w:rtl/>
          <w:lang w:bidi="ar-IQ"/>
        </w:rPr>
      </w:pPr>
    </w:p>
    <w:p w:rsidR="00005B2B" w:rsidRPr="00005B2B" w:rsidRDefault="00005B2B" w:rsidP="00005B2B">
      <w:pPr>
        <w:spacing w:after="0" w:line="240" w:lineRule="auto"/>
        <w:jc w:val="both"/>
        <w:rPr>
          <w:rFonts w:asciiTheme="majorBidi" w:hAnsiTheme="majorBidi" w:cstheme="majorBidi"/>
          <w:sz w:val="28"/>
          <w:szCs w:val="28"/>
          <w:rtl/>
          <w:lang w:bidi="ar-IQ"/>
        </w:rPr>
      </w:pPr>
    </w:p>
    <w:p w:rsidR="00005B2B" w:rsidRPr="00005B2B" w:rsidRDefault="00005B2B" w:rsidP="00005B2B">
      <w:pPr>
        <w:spacing w:after="0" w:line="240" w:lineRule="auto"/>
        <w:jc w:val="center"/>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الفرع الثاني</w:t>
      </w:r>
    </w:p>
    <w:p w:rsidR="00005B2B" w:rsidRPr="00005B2B" w:rsidRDefault="00005B2B" w:rsidP="00005B2B">
      <w:pPr>
        <w:spacing w:after="0" w:line="240" w:lineRule="auto"/>
        <w:jc w:val="center"/>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الالتزام بالإطار الذي يحدده الدستور عند تشريع القوانين</w:t>
      </w:r>
    </w:p>
    <w:p w:rsidR="00005B2B" w:rsidRPr="00005B2B" w:rsidRDefault="00005B2B" w:rsidP="00F456FC">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يلتزم المشرع العادي عند تشريع القوانين المتعلقة بحق الملكية الخاصة الالتزام بالإطار الذي يحدده الدستور، فلا يمارس المشرع سلطته إلا داخل هذا الإطار ووفق ما يرسمه الدستور،(65) فلا ينبغي أن يعصف بالحق أو ينال منه بدعوى التنظيم، بعد السلطة التقديرية الممنوحة للمشرع لا تعني نقص الحق الذي يتولاه بالتنظيم، ومن ثم لابد من التفرقة بين اصل الحق الذي كفله الدستور وبين تنظيمه، فمتى أنتقص من الحق أو حرم الأفراد منه فيكون بذلك قد تجاوز دائرة التنظيم ويخضع للرقابة الدستورية، ويعد هذا القيد أهم ضوابط السلطة التقديرية للمشرع، لكون تنظيم الحق هو أكثر الموضوعات اتصالًا بالسلطة التقديرية للمشرع، والسلطة التقديرية هي (الحرية التي يتمتع بها المشرع في ممارسة اختصاصه أو المفاضلة بين البدائل)،(66)بالتالي لابد من التقيد بما يحدده الدستور من ضوابط، حتى لا يكون تدخل المشرع بدافع التنظيم إلى الانتقاص منه أو إهداره،(67)وبالرجوع للنصوص الدستورية النافذة التي نظمت حق الملكية الخاصة سابق الإشارة لها نلاحظ أن للمشرع سلطة تقديرية في سن القوانين، بشرط ألا يتعارض ذلك مع ما حدده الدستور، وأن لا تؤدي تلك السلطة إلى الأخلال  أو التعسف بحق الأفراد وعلى الوجه الذي يسلب حقهم في ملكيهم دون مراعاة النص الدستوري. وإذا كان كل من المشرع المقارن والعراقي قد حرص على حماية حق الملكية الخاصة وكفل للأفراد التمتع بها، إلا انه في ذات الوقت لم يجعل من هذا الحق حقًا مطلقًا ومقدسًا لا يجوز</w:t>
      </w:r>
      <w:r w:rsidRPr="00005B2B">
        <w:rPr>
          <w:rFonts w:asciiTheme="majorBidi" w:hAnsiTheme="majorBidi" w:cstheme="majorBidi"/>
          <w:sz w:val="28"/>
          <w:szCs w:val="28"/>
          <w:rtl/>
        </w:rPr>
        <w:t xml:space="preserve"> </w:t>
      </w:r>
      <w:r w:rsidRPr="00005B2B">
        <w:rPr>
          <w:rFonts w:asciiTheme="majorBidi" w:hAnsiTheme="majorBidi" w:cstheme="majorBidi"/>
          <w:sz w:val="28"/>
          <w:szCs w:val="28"/>
          <w:rtl/>
          <w:lang w:bidi="ar-IQ"/>
        </w:rPr>
        <w:t xml:space="preserve">المساس به، إذ أباح للمشرع العادي تنظيم هذا الحق على أن لا يمس  ذلك التنظيم أو التقييد أصل الحق وجوهره وفقًا لما أشار له الدستور(68)وبما يخدم الوظيفة الاجتماعية وتحميله ببعض القيود التي </w:t>
      </w:r>
      <w:proofErr w:type="spellStart"/>
      <w:r w:rsidRPr="00005B2B">
        <w:rPr>
          <w:rFonts w:asciiTheme="majorBidi" w:hAnsiTheme="majorBidi" w:cstheme="majorBidi"/>
          <w:sz w:val="28"/>
          <w:szCs w:val="28"/>
          <w:rtl/>
          <w:lang w:bidi="ar-IQ"/>
        </w:rPr>
        <w:t>تتطلبها</w:t>
      </w:r>
      <w:proofErr w:type="spellEnd"/>
      <w:r w:rsidRPr="00005B2B">
        <w:rPr>
          <w:rFonts w:asciiTheme="majorBidi" w:hAnsiTheme="majorBidi" w:cstheme="majorBidi"/>
          <w:sz w:val="28"/>
          <w:szCs w:val="28"/>
          <w:rtl/>
          <w:lang w:bidi="ar-IQ"/>
        </w:rPr>
        <w:t xml:space="preserve"> تلك الوظيفة، وأن حصرها في أطار ضيق، وجعلها أمرًا عارضًا ليس مقصودًا لذاته، ولم يبيح الدستور التوسع في فرض القيود إلا وفقًا للقانون، وألا يؤدي ذلك التنظيم إلى انتهاك الملكية الخاصة أو الانتقاص منها، ومخالفة القيود المفروضة لتحقيق غايات -غير الصالح العام- مخالفة دستورية، واستنادًا لما سبق يمكن القول أن حق الملكية الخاصة قد نظم دستوريًا بما يصون هذا الحق، وحدد للمشرع العادي دائرة يعمل من خلالها مستخدمًا سلطته التقديرية في تنظيم هذا الحق، وعند تجاوز نطاق التنظيم إلى ما يعد عدوانًا على حق الملكية الخاصة كان ذلك موجبًا للحكم بعد الدستورية.(69)</w:t>
      </w:r>
    </w:p>
    <w:p w:rsidR="00D5287F" w:rsidRDefault="00005B2B" w:rsidP="00005B2B">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sz w:val="28"/>
          <w:szCs w:val="28"/>
          <w:rtl/>
          <w:lang w:bidi="ar-IQ"/>
        </w:rPr>
        <w:t xml:space="preserve">            ومن الجدير بالذكر، أن أساس السلطة التقديرية للمشرع العادي يتمثل في حالتين، الأولى عمومية النصوص ذلك عندما يقتصر النص الدستوري على إيراد مبادئ عامة أو توجيهية، لذا يطلب من المشرع العادي ببذل عناية لتحقيق تلك المبادئ ووضعها موضع التطبيق دون أن تلزمه بتحقيق نتيجة، والحالة الثانية هي عندما تحيل النصوص الدستورية على المشرع تنظيم مسألة معينة مقيدًا ذلك بقيود دستورية محددة، وكما هو الحال لنصوص حق الملكية الخاصة، إذ ينص الدستور على أن ينظم  المشرع العادي القانون المتعلق بمسألة نزع الملكية للمنفعة العامة وتعويض الأفراد مقيدًا سلطة التشريع بتقرير المنفعة العامة والتعويض العادل، فالنصوص الدستورية عادةٌ ما تكون نصوص عامة فضفاضة غير منظمة لما يتعلق بالتفاصيل الجزئية، إذ تحتاج معظم القواعد الدستورية للتدخل التشريعي لتفصيلها أو</w:t>
      </w:r>
    </w:p>
    <w:p w:rsidR="00D5287F" w:rsidRDefault="00D5287F" w:rsidP="00005B2B">
      <w:pPr>
        <w:spacing w:after="0" w:line="240" w:lineRule="auto"/>
        <w:jc w:val="both"/>
        <w:rPr>
          <w:rFonts w:asciiTheme="majorBidi" w:hAnsiTheme="majorBidi" w:cstheme="majorBidi" w:hint="cs"/>
          <w:sz w:val="28"/>
          <w:szCs w:val="28"/>
          <w:rtl/>
          <w:lang w:bidi="ar-IQ"/>
        </w:rPr>
      </w:pPr>
    </w:p>
    <w:p w:rsidR="00005B2B" w:rsidRPr="00005B2B" w:rsidRDefault="00005B2B" w:rsidP="00D5287F">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تنظيمها على نحو دقيق، لغرض تحويلها لقواعد محددة قابلة التطبيق على المخاطبين بها، بناء على ذلك يحيل الدستور على المشرع البرلماني تنظيم تلك المسائل، وفقًا لقانون، أو بما تسنه السلطة التنفيذية من قوانين بناء على تفويض من السلطة التشريعية في الأحوال التي يحددها الدستور، ذلك ما درجت عليه النظم الدستورية، مما يمنح المشرع قدرًا من الحرية،(70)فيكون للمشرع العادي حق التنظيم،(71) ووضع القيود، والقيود تنطوي بداهة على الانتقاص من الحق دون المساس بأصل الحق، وحين قرر الدستور حق الملكية الخاصة ومنح المشرع سلطة تقديرية، فليس على المشرع من الناحية القانونية سوى قيد قانوني واحد وهو عدم إلغاء أو هدم ذلك الحق، وأما عدا ذلك من قيود فيعود تقرير أمرها للبرلمان، ومن ثم يعد التشريع مخالفًا للدستور متى ما خرج على النص الدستوري والغى أو اهدر الحق التي هو بصدد تنظيمه.(72)</w:t>
      </w:r>
      <w:r w:rsidR="00D5287F">
        <w:rPr>
          <w:rFonts w:asciiTheme="majorBidi" w:hAnsiTheme="majorBidi" w:cstheme="majorBidi" w:hint="cs"/>
          <w:sz w:val="28"/>
          <w:szCs w:val="28"/>
          <w:rtl/>
          <w:lang w:bidi="ar-IQ"/>
        </w:rPr>
        <w:t xml:space="preserve"> </w:t>
      </w:r>
      <w:r w:rsidRPr="00005B2B">
        <w:rPr>
          <w:rFonts w:asciiTheme="majorBidi" w:hAnsiTheme="majorBidi" w:cstheme="majorBidi"/>
          <w:sz w:val="28"/>
          <w:szCs w:val="28"/>
          <w:rtl/>
          <w:lang w:bidi="ar-IQ"/>
        </w:rPr>
        <w:t>فالتزام المشرع حيال النصوص التقريرية(73)إذن هو التزام قانوني مقتضاه (أنه لا يستطيع مخالفة هذه النصوص التقريرية بقوانين يصدرها تتضمن مخالفة صريحة لهذه النصوص أو انتهاكًا واضحًا لها)، وهنالك من النصوص الدستورية ما يكون اقرب للنصوص التقريرية – أي وضع الدستور حرية أو حقوق من الحقوق وأحال تنظيمها لقانون وهو ما يتقارب مع النصوص المنظمة للملكية الخاصة، فالنص الدستوري يضع الأساس الحق المقرر للأفراد وممن يستطيعون ممارسته فورًا ودون أذن إضافي من المشرع، لكن يستطيع المشرع التدخل لتنظيم ذلك الحق ووضع القيود على استعماله، لكي لا يتعارض استعمال الفرد مع استعمال غيره من الأفراد، وليكون الحق في النهاية غير متعارض مع الصالح العام للمجتمع، لكن تدخل البرلمان في بعض الأحيان وتشريعهُ للقانون قد يؤدي إلى انتهاك الحق خلافًا للمصلحة العامة وذلك تحت ستار التنظيم، ليشكل ذلك انتهاكًا للدستور بلا شك، وليصبح القانون في نهاية المطاف خاضع لتقدير القضاء من خلال رقابة دستورية القوانين.(73)</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وحرصًا على تقييد المشرع العادي بالنصوص الدستورية وبحدود السلطة الممنوحة للتشريع في اطار الدستور، أشاد المجلس الدستوري بحرصه على حماية حق الملكية الخاصة  من خلال تطبيق روح الدستور و تقيد سلطة المشرع في وضع القيود على حق الملكية فذهب إلى ((أن المشرع يستطيع تنظيم حق الملكية الخاصة بحسب ما </w:t>
      </w:r>
      <w:proofErr w:type="spellStart"/>
      <w:r w:rsidRPr="00005B2B">
        <w:rPr>
          <w:rFonts w:asciiTheme="majorBidi" w:hAnsiTheme="majorBidi" w:cstheme="majorBidi"/>
          <w:sz w:val="28"/>
          <w:szCs w:val="28"/>
          <w:rtl/>
          <w:lang w:bidi="ar-IQ"/>
        </w:rPr>
        <w:t>تقتضيه</w:t>
      </w:r>
      <w:proofErr w:type="spellEnd"/>
      <w:r w:rsidRPr="00005B2B">
        <w:rPr>
          <w:rFonts w:asciiTheme="majorBidi" w:hAnsiTheme="majorBidi" w:cstheme="majorBidi"/>
          <w:sz w:val="28"/>
          <w:szCs w:val="28"/>
          <w:rtl/>
          <w:lang w:bidi="ar-IQ"/>
        </w:rPr>
        <w:t xml:space="preserve"> المصلحة العامة، بشرط إلا يمثل التدخل التشريعي تشويه للحق، أو تتحول السلطة التشريعية إلى سلطة متعسفة تغتال الحق أو تجور عليه)).(74)</w:t>
      </w:r>
    </w:p>
    <w:p w:rsidR="00005B2B" w:rsidRDefault="00005B2B" w:rsidP="00005B2B">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sz w:val="28"/>
          <w:szCs w:val="28"/>
          <w:rtl/>
          <w:lang w:bidi="ar-IQ"/>
        </w:rPr>
        <w:t xml:space="preserve">           وفي مصر أكدت المحكمة الدستورية ذلك بقولها((أن السلطة التقديرية التي يمتلكها المشرع في موضوع تنظيم الحقوق حدها قواعد الدستور، فلا يجوز تخطيها، وإنه من المقرر أن الحقوق التي كفل الدستور أصلها لا يجوز تقييدها بما ينال منها، تقديرًا بأن لكل حق مجالًا حيويًا أو دائرة منطقية يعمل في إطارها فلا يجوز اقتحامها وإلا كان ذلك نقصًا لفحواه، وعدوانًا على نصوص الدستور ذاتها))،(75)كما أكدت ذات المعنى بحكمها((وحيث أن السلطة التقديرية التي يمتلكها المشرع في موضوع تنظيم الحقوق لازمها أن يفاضل بين بدائل متعددة، مرجحًا من بينها ما يراه أكفل لتحقيق المصالح المشروعة التي قصد إلى حمايتها، إلا أن الحدود التي يبلغها هذا التنظيم لا يجوز بحال أن ينطلق مداها إلى ما يعد أخذًا للملكية من أصحابها سواء من خلال العدوان عليها بما يفقدها قيمتها، أو عن طريق اقتحامها ماديًا، بل أن اقتلاع المزايا التي تنتجها، أو تهمشها مؤداه سيطرة آخرين فعلًا عليها أو تعطيل بعض جوانبها)).(76)</w:t>
      </w:r>
    </w:p>
    <w:p w:rsidR="00D5287F" w:rsidRDefault="00D5287F" w:rsidP="00005B2B">
      <w:pPr>
        <w:spacing w:after="0" w:line="240" w:lineRule="auto"/>
        <w:jc w:val="both"/>
        <w:rPr>
          <w:rFonts w:asciiTheme="majorBidi" w:hAnsiTheme="majorBidi" w:cstheme="majorBidi" w:hint="cs"/>
          <w:sz w:val="28"/>
          <w:szCs w:val="28"/>
          <w:rtl/>
          <w:lang w:bidi="ar-IQ"/>
        </w:rPr>
      </w:pPr>
    </w:p>
    <w:p w:rsidR="00D5287F" w:rsidRDefault="00005B2B" w:rsidP="00D5287F">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sz w:val="28"/>
          <w:szCs w:val="28"/>
          <w:rtl/>
          <w:lang w:bidi="ar-IQ"/>
        </w:rPr>
        <w:t xml:space="preserve">        أما في العراق وبالرجوع للقرارات القضائية ذات الصلة بحق الملكية الخاصة نلاحظ أنها لم تشر وبشكل صريح إلى القرينة الدستورية، إلا أنها عملت بهذه القاعدة ضمنًا وبمقتضى العديد من أحكامها، ومنها حكمها الصادر ((بعدم بدستورية المادة (25) من قانون هيئة دعاوى الملكية رقم (13) لسنة 2010، مؤكدة مخالفتها إحكام الدستور، والتي أشارت يحق للذين وقع عليهم غبن نتيجة تطبيق القانون رقم (2) لسنة 2006 فيما يخص التعويض وقت إقامة الدعوى ولهم الحق بإقامة الدعوى بموجب القانون الجديد بأثر رجعي لرفع الحيف عنهم، وأن المحكمة قررت تعطيل هذه المادة لمخالفتها أحكام الدستور بالاستناد للمادة (14) من الدستور التي تؤكد إن العراقيين متساوون أمام القانون دون تمييز بسبب  الجنس أو العرق أو القومية أو الأصل أو اللون أو الدين أو المذهب أو المعتقد أو الرأي أو الوضع الاقتصادي أو الاجتماعي ،والمادة(19/سادسًا)أن لكل فرد الحق في إن يعامل معاملة عادلة في الإجراءات القضائية)).(77)</w:t>
      </w:r>
      <w:r w:rsidR="00D5287F">
        <w:rPr>
          <w:rFonts w:asciiTheme="majorBidi" w:hAnsiTheme="majorBidi" w:cstheme="majorBidi" w:hint="cs"/>
          <w:sz w:val="28"/>
          <w:szCs w:val="28"/>
          <w:rtl/>
          <w:lang w:bidi="ar-IQ"/>
        </w:rPr>
        <w:t xml:space="preserve"> </w:t>
      </w:r>
      <w:r w:rsidRPr="00005B2B">
        <w:rPr>
          <w:rFonts w:asciiTheme="majorBidi" w:hAnsiTheme="majorBidi" w:cstheme="majorBidi"/>
          <w:sz w:val="28"/>
          <w:szCs w:val="28"/>
          <w:rtl/>
          <w:lang w:bidi="ar-IQ"/>
        </w:rPr>
        <w:t xml:space="preserve"> ويبقى هذا الحكم مرعيًا على السلطة التشريعية أتباع ما ورد فيه عند التصدي لأي قانون مماثل، فالمشرع وأن كان له السلطة التقديرية عند التشريع إلا أنه مقيد بإطار الدستور، لأن سلطتهِ ليست سلطة مطلقة، مما يظهر دور القضاء الدستوري والذي يعد بمثابة الرقيب الذي يوضح مدى حدود السلطة التقديرية من خلال الأحكام التي يصدرها، ويجدر بالسلطة التشريعية الالتفات إلى ذلك عند عملية التشريع بدافع الحفاظ على استقرار المراكز القانونية والتعاملات القانونية التي ينشئها.(78)</w:t>
      </w:r>
      <w:r w:rsidR="00D5287F">
        <w:rPr>
          <w:rFonts w:asciiTheme="majorBidi" w:hAnsiTheme="majorBidi" w:cstheme="majorBidi" w:hint="cs"/>
          <w:sz w:val="28"/>
          <w:szCs w:val="28"/>
          <w:rtl/>
          <w:lang w:bidi="ar-IQ"/>
        </w:rPr>
        <w:t xml:space="preserve"> </w:t>
      </w:r>
      <w:r w:rsidRPr="00005B2B">
        <w:rPr>
          <w:rFonts w:asciiTheme="majorBidi" w:hAnsiTheme="majorBidi" w:cstheme="majorBidi"/>
          <w:sz w:val="28"/>
          <w:szCs w:val="28"/>
          <w:rtl/>
          <w:lang w:bidi="ar-IQ"/>
        </w:rPr>
        <w:t xml:space="preserve">  ومن الأسس الفلسفية لفرض رقابة القضاء الدستوري على السلطة التقديرية للمشرع العادي هي ضمان الدستورية من خلال ما تصدرهُ السلطة التشريعية من تشريعات بعدها أهم وأخطر سلطات الدولة قاطبة لما تتمتع بهِ من سلطة تقديرية؛ قد تشكل مدخلًا طبيعيًا لإفساح المجال للانحراف التشريعي والتعسف في استعمال السلطة بما يترتب على ذلك الإخلال بالدستورية، مما تظهر الحاجة ملحة لوجود صمام أمن يؤمن إعطاء المضمون الفعال للدستورية، ومن أفضل تلك الوسائل هي المراجعة الدستورية بصفة عامة، ومن الأسس الأخرى ضمان الأمن القانوني واستتباب السلم الاجتماعي وتحقيق الرفاهية الاقتصادية للدولة، ومن أهداف تحقيق الأمن القانوني ضمان قدر من الثبات النسبي في الأنظمة والقواعد القانونية السائدة، والحصول على حد أدنى من استقرار المراكز القانونية المتباينة لغرض بث الطمأنينة بين أطراف العلاقة القانونية من أشخاص عامة وخاصة، ولتمكين الأشخاص من التصرف باطمئنان وعلى ما جاءت به القوانين القائمة والدستور القائم دون التعرض لتصرفات ومفاجئات مباغتة صادرة من السلطات العامة تعمد إلى الأخلال بالأعمال القانونية.(79)  ولما تقدم، يتضح أن المشرع الدستوري بعد فرضه </w:t>
      </w:r>
      <w:proofErr w:type="spellStart"/>
      <w:r w:rsidRPr="00005B2B">
        <w:rPr>
          <w:rFonts w:asciiTheme="majorBidi" w:hAnsiTheme="majorBidi" w:cstheme="majorBidi"/>
          <w:sz w:val="28"/>
          <w:szCs w:val="28"/>
          <w:rtl/>
          <w:lang w:bidi="ar-IQ"/>
        </w:rPr>
        <w:t>إلتزام</w:t>
      </w:r>
      <w:proofErr w:type="spellEnd"/>
      <w:r w:rsidRPr="00005B2B">
        <w:rPr>
          <w:rFonts w:asciiTheme="majorBidi" w:hAnsiTheme="majorBidi" w:cstheme="majorBidi"/>
          <w:sz w:val="28"/>
          <w:szCs w:val="28"/>
          <w:rtl/>
          <w:lang w:bidi="ar-IQ"/>
        </w:rPr>
        <w:t xml:space="preserve"> بتشريع القوانين على المشرع العادي، الزم بوجوب اتباع الإطار المحدد دستوريًا، ذلك بعدم الخروج عما هو محدد بالنص الدستوري، ويكون ذلك بالتقيد بالسلطة التقديرية الممنوحة والالتزام بالقيود الدستورية، ومتى ما شرع القانون مخالفًا لحق الملكية الخاصة، يظهر هنا دور الرقابة الدستورية للحكم بعدم دستوريه النص التشريعي المخالف متى كان المشرع العادي مخلل بالتزامه التشريعي خارجًا عن نطاق السلطة التقديرية بانتهاك الحق والاعتداء عليهِ. </w:t>
      </w:r>
    </w:p>
    <w:p w:rsidR="00D5287F" w:rsidRDefault="00D5287F" w:rsidP="00D5287F">
      <w:pPr>
        <w:spacing w:after="0" w:line="240" w:lineRule="auto"/>
        <w:jc w:val="both"/>
        <w:rPr>
          <w:rFonts w:asciiTheme="majorBidi" w:hAnsiTheme="majorBidi" w:cstheme="majorBidi" w:hint="cs"/>
          <w:sz w:val="28"/>
          <w:szCs w:val="28"/>
          <w:rtl/>
          <w:lang w:bidi="ar-IQ"/>
        </w:rPr>
      </w:pPr>
    </w:p>
    <w:p w:rsidR="00D5287F" w:rsidRDefault="00D5287F" w:rsidP="00D5287F">
      <w:pPr>
        <w:spacing w:after="0" w:line="240" w:lineRule="auto"/>
        <w:jc w:val="both"/>
        <w:rPr>
          <w:rFonts w:asciiTheme="majorBidi" w:hAnsiTheme="majorBidi" w:cstheme="majorBidi" w:hint="cs"/>
          <w:sz w:val="28"/>
          <w:szCs w:val="28"/>
          <w:rtl/>
          <w:lang w:bidi="ar-IQ"/>
        </w:rPr>
      </w:pPr>
    </w:p>
    <w:p w:rsidR="00005B2B" w:rsidRPr="00005B2B" w:rsidRDefault="00005B2B" w:rsidP="00D5287F">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lastRenderedPageBreak/>
        <w:t xml:space="preserve">    </w:t>
      </w:r>
    </w:p>
    <w:p w:rsidR="00005B2B" w:rsidRPr="00005B2B" w:rsidRDefault="00005B2B" w:rsidP="00005B2B">
      <w:pPr>
        <w:spacing w:after="0" w:line="240" w:lineRule="auto"/>
        <w:jc w:val="center"/>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الفرع الثالث</w:t>
      </w:r>
    </w:p>
    <w:p w:rsidR="00005B2B" w:rsidRPr="00005B2B" w:rsidRDefault="00005B2B" w:rsidP="00005B2B">
      <w:pPr>
        <w:spacing w:after="0" w:line="240" w:lineRule="auto"/>
        <w:jc w:val="center"/>
        <w:rPr>
          <w:rFonts w:asciiTheme="majorBidi" w:hAnsiTheme="majorBidi" w:cstheme="majorBidi"/>
          <w:b/>
          <w:bCs/>
          <w:sz w:val="28"/>
          <w:szCs w:val="28"/>
          <w:rtl/>
          <w:lang w:bidi="ar-IQ"/>
        </w:rPr>
      </w:pPr>
      <w:r w:rsidRPr="00005B2B">
        <w:rPr>
          <w:rFonts w:asciiTheme="majorBidi" w:hAnsiTheme="majorBidi" w:cstheme="majorBidi"/>
          <w:b/>
          <w:bCs/>
          <w:sz w:val="28"/>
          <w:szCs w:val="28"/>
          <w:rtl/>
          <w:lang w:bidi="ar-IQ"/>
        </w:rPr>
        <w:t>الالتزام بتحقيق التوازن بين حق الملكية الخاصة والمصلحة العامة</w:t>
      </w:r>
    </w:p>
    <w:p w:rsidR="00005B2B" w:rsidRPr="00005B2B" w:rsidRDefault="00005B2B" w:rsidP="00D5287F">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فضلًا عن التزام المشرع بحدود الدستور وهو بصدد تنظيم الملكية الخاصة، فعليه التزام تحقيق التوازن بين حماية حق الملكية الخاصة وهدف المصلحة العامة،(80) والمشرع في كل قاعدة تشريعية إنما يستهدف تحقيق أغراض معينة يكون قصده قد أنصرف إليها، وتعد هذه الأغراض بمثابة الدوافع التي دفعت لإصدار هذه القاعدة التشريعية، والمفترض كذلك في المشرع أنه لا يستهدف غير تلك الأغراض التي يأذن الدستور بها، أو تلك التي لا يعارضها، كما لا يجوز له حال مباشرته اختصاصه أن تكون له غايات أخرى غير تحقيق الصالح العام، فلا يكفي أن يصدر التشريع مراعيًا لما جاء في الدستور من قواعد وقيود ومتوافقًا معها، وإنما يجب أيضًا أن يكون هذا التشريع متلائمًا مع روح الدستور وما أستهدفه من مقاصد وغايات للمشرع العادي عند تشريع القوانين سلطة تقديرية بما يتيح له المبادأة والابتكار، إلا أن هذه السلطة ليست مطلقة، إذ تعد المصلحة العامة قيدًا غائيًا عليه، وألا ينحاز لغرض غير مشروع، ومتى اصدر تشريع على خلاف قواعد الدستور، لزم القول بمخالفة التشريع للدستور، ولو كان ذلك في مجال السلطة التقديرية التي يمتلكها في موضوع تنظيم الحقوق، لأن هذه السلطة تحدها قواعد الدستور.(81)</w:t>
      </w:r>
      <w:r w:rsidR="00D5287F">
        <w:rPr>
          <w:rFonts w:asciiTheme="majorBidi" w:hAnsiTheme="majorBidi" w:cstheme="majorBidi" w:hint="cs"/>
          <w:sz w:val="28"/>
          <w:szCs w:val="28"/>
          <w:rtl/>
          <w:lang w:bidi="ar-IQ"/>
        </w:rPr>
        <w:t xml:space="preserve"> </w:t>
      </w:r>
      <w:r w:rsidRPr="00005B2B">
        <w:rPr>
          <w:rFonts w:asciiTheme="majorBidi" w:hAnsiTheme="majorBidi" w:cstheme="majorBidi"/>
          <w:sz w:val="28"/>
          <w:szCs w:val="28"/>
          <w:rtl/>
          <w:lang w:bidi="ar-IQ"/>
        </w:rPr>
        <w:t xml:space="preserve"> كما أن حماية الملكية الخاصة يتطلب ألا تكون مقابل التضحية بالمصلحة العامة للدولة، فحق الملكية الخاصة يتعين أن لا يكون التمتع بهِ في مقابل رفض التعويض العادل للتنازل عن عقار مقابل المنفعة العامة وإنشاء الشوارع العامة أو شق الطرق والتي تسهم في خدمة الصالح العام، أي أن تؤدي الملكية وضيفتها الاجتماعية والإسهام في خدمة الاقتصاد الوطني، ومن أجل ذلك يتعين على المشرع أن يقيم نوعًا من التوازن بين الملكية الخاصة والمصلحة العامة، فلا يسهم لأجل تحقيق حماية الملكية الخاصة التضحية بالمصلحة العامة، وأن لا يعمد لتحقيق تلك المصلحة مقابل الأضرار بحقوق الأفراد أو عدم مراعاة الملكية الخاصة، وهو ما يعد قيدًا على سلطة المشرع العادي بتحقيق التوافق والتوافق بين المصلحة العامة وحق الملكية الخاصة، كما وقرر المجلس الدستوري ((أن حماية ممارسة الحقوق والحريات تتقيد بحماية الحقوق والحريات الأخرى وحماية النظام العام))(82).</w:t>
      </w:r>
    </w:p>
    <w:p w:rsidR="00005B2B" w:rsidRDefault="00005B2B" w:rsidP="00D5287F">
      <w:pPr>
        <w:spacing w:after="0" w:line="240" w:lineRule="auto"/>
        <w:jc w:val="both"/>
        <w:rPr>
          <w:rFonts w:asciiTheme="majorBidi" w:hAnsiTheme="majorBidi" w:cstheme="majorBidi" w:hint="cs"/>
          <w:sz w:val="28"/>
          <w:szCs w:val="28"/>
          <w:rtl/>
          <w:lang w:bidi="ar-IQ"/>
        </w:rPr>
      </w:pPr>
      <w:r w:rsidRPr="00005B2B">
        <w:rPr>
          <w:rFonts w:asciiTheme="majorBidi" w:hAnsiTheme="majorBidi" w:cstheme="majorBidi"/>
          <w:sz w:val="28"/>
          <w:szCs w:val="28"/>
          <w:rtl/>
          <w:lang w:bidi="ar-IQ"/>
        </w:rPr>
        <w:t xml:space="preserve">            كما وربطت المحكمة الدستورية العليا بين حماية الحق وبين الوظيفة الاجتماعية للملكية من جهة، وحماية النظام العام للمجتمع من جهة أخرى، فقررت((لحق الملكة إطار محدد تتوازن فيه المصالح ولا تتنافر ، وتضبطها وظيفتها الاجتماعية التي تتأثر بالقيود التي تفرضها على الملكية الحدود المشروعة لممارسة سلطاتها، وهي حدود يجب التزامها لأن العدوان عليها يخرج الملكية عن دائرة الحماية التي كفلها الدستور))(83).  ولما تقدم، يتضح أن المشرع العادي ملزم بتحقيق التوازن في حماية حق الملكية الخاصة فيما بين الأفراد، وبين حمايتها وتحقيق المصلحة العامة، أي أن لا يخل المشرع بتنظيمه للتشريعات بالحق على خلاف ما مقرر دستوريًا، ولا يبالغ بحمايته على نحو يهمل معهُ المصلحة العامة، فلا بد أن يكون المشرع وسطًا في التنظيم بين الحماية وبين اعتبار المصلحة العامة على الشكل الذي يتوافق والنص الدستوري.</w:t>
      </w:r>
    </w:p>
    <w:p w:rsidR="00D5287F" w:rsidRDefault="00D5287F" w:rsidP="00D5287F">
      <w:pPr>
        <w:spacing w:after="0" w:line="240" w:lineRule="auto"/>
        <w:jc w:val="both"/>
        <w:rPr>
          <w:rFonts w:asciiTheme="majorBidi" w:hAnsiTheme="majorBidi" w:cstheme="majorBidi" w:hint="cs"/>
          <w:sz w:val="28"/>
          <w:szCs w:val="28"/>
          <w:rtl/>
          <w:lang w:bidi="ar-IQ"/>
        </w:rPr>
      </w:pPr>
    </w:p>
    <w:p w:rsidR="00D5287F" w:rsidRPr="00005B2B" w:rsidRDefault="00D5287F" w:rsidP="00D5287F">
      <w:pPr>
        <w:spacing w:after="0" w:line="240" w:lineRule="auto"/>
        <w:jc w:val="both"/>
        <w:rPr>
          <w:rFonts w:asciiTheme="majorBidi" w:hAnsiTheme="majorBidi" w:cstheme="majorBidi"/>
          <w:sz w:val="28"/>
          <w:szCs w:val="28"/>
          <w:rtl/>
          <w:lang w:bidi="ar-IQ"/>
        </w:rPr>
      </w:pPr>
    </w:p>
    <w:p w:rsidR="00005B2B" w:rsidRPr="00D5287F" w:rsidRDefault="00005B2B" w:rsidP="00D5287F">
      <w:pPr>
        <w:spacing w:after="0" w:line="240" w:lineRule="auto"/>
        <w:rPr>
          <w:rFonts w:asciiTheme="majorBidi" w:hAnsiTheme="majorBidi" w:cstheme="majorBidi"/>
          <w:b/>
          <w:bCs/>
          <w:sz w:val="28"/>
          <w:szCs w:val="28"/>
          <w:rtl/>
          <w:lang w:bidi="ar-IQ"/>
        </w:rPr>
      </w:pPr>
      <w:r w:rsidRPr="00D5287F">
        <w:rPr>
          <w:rFonts w:asciiTheme="majorBidi" w:hAnsiTheme="majorBidi" w:cstheme="majorBidi"/>
          <w:b/>
          <w:bCs/>
          <w:sz w:val="28"/>
          <w:szCs w:val="28"/>
          <w:u w:val="double"/>
          <w:rtl/>
          <w:lang w:bidi="ar-IQ"/>
        </w:rPr>
        <w:t>الخاتمة</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في ختام بحثنا حول موضع أثر النصوص الدستورية في التنظيم القانوني لحق الملكية الخاصة، وبعدها حماية ذات أهمية بالغة لما ينطوي تحتها تمتع الفرد بامتيازات حقهِ، توصلنا إلى جملة من النتائج والمقترحات:ـ</w:t>
      </w:r>
    </w:p>
    <w:p w:rsidR="00005B2B" w:rsidRPr="00D5287F" w:rsidRDefault="00005B2B" w:rsidP="00005B2B">
      <w:pPr>
        <w:spacing w:after="0" w:line="240" w:lineRule="auto"/>
        <w:jc w:val="both"/>
        <w:rPr>
          <w:rFonts w:asciiTheme="majorBidi" w:hAnsiTheme="majorBidi" w:cstheme="majorBidi"/>
          <w:b/>
          <w:bCs/>
          <w:sz w:val="28"/>
          <w:szCs w:val="28"/>
          <w:rtl/>
          <w:lang w:bidi="ar-IQ"/>
        </w:rPr>
      </w:pPr>
      <w:r w:rsidRPr="00D5287F">
        <w:rPr>
          <w:rFonts w:asciiTheme="majorBidi" w:hAnsiTheme="majorBidi" w:cstheme="majorBidi"/>
          <w:b/>
          <w:bCs/>
          <w:sz w:val="28"/>
          <w:szCs w:val="28"/>
          <w:u w:val="double"/>
          <w:rtl/>
          <w:lang w:bidi="ar-IQ"/>
        </w:rPr>
        <w:t>النتائج</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1ـ أهتمت الدساتير المتعاقبة بذكر النصوص الدستورية الضامنة لحق الملكية الخاصة، ولم يقتصر الأمر على نزع الملكية، أنما امتدت الحماية لتشمل منع التأميم و المصادرة والحراسة إلا ما كان منها بحكم قضائي أو وفقًا قانون.</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2ـ يوفر النص الدستوري حماية دستورية متكاملة لحق الملكية الخاصة على نحو يضمن معه عدم تجاوز السلطات العامة حدودها وانتهاك الحق أو ترتيب القيود المخالفة لما يقرره النص الدستوري، فضلًا عن تعديلات النص الدستوري التي أسهمت هي الأخرى بإضافة مزيد من الضمانات.</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3- على الرغم من </w:t>
      </w:r>
      <w:proofErr w:type="spellStart"/>
      <w:r w:rsidRPr="00005B2B">
        <w:rPr>
          <w:rFonts w:asciiTheme="majorBidi" w:hAnsiTheme="majorBidi" w:cstheme="majorBidi"/>
          <w:sz w:val="28"/>
          <w:szCs w:val="28"/>
          <w:rtl/>
          <w:lang w:bidi="ar-IQ"/>
        </w:rPr>
        <w:t>أشارة</w:t>
      </w:r>
      <w:proofErr w:type="spellEnd"/>
      <w:r w:rsidRPr="00005B2B">
        <w:rPr>
          <w:rFonts w:asciiTheme="majorBidi" w:hAnsiTheme="majorBidi" w:cstheme="majorBidi"/>
          <w:sz w:val="28"/>
          <w:szCs w:val="28"/>
          <w:rtl/>
          <w:lang w:bidi="ar-IQ"/>
        </w:rPr>
        <w:t xml:space="preserve"> الدستور إلى أن ينظم بقانون ما تعلق بنزع الملكية للمنفعة، إلا أن المشرع العادي لم يبادر بتشريع القوانين الجديدة وأكفى بما هو موجود من قوانين سيقت صدور الدستور.</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4ـ يمكن تقييد حق الملكية الخاصة من قبل الجهة المختصة بالتشريع استنادًا بما تمتلكه من سلطة تقديرية، إلا أن هذه السلطة ليست مطلقة على نحو الأضرار وانتهاك حقوق الأفراد، بل مقيدة بما يفرضه النص الدستوري من قيود.</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5ـ لم يشر المشرع العراقي إلى مبادئ قانونية أو قرارات دستورية واضحة في مجال القضاء الدستوري تشير إلى مبدأ الموازنة بين المصلحة العامة وحقوق الأنسان بصورة عامة، وحق الملكية بصورة خاصة، وكما هو الحال للقضاء المقارن.</w:t>
      </w:r>
    </w:p>
    <w:p w:rsidR="00005B2B" w:rsidRPr="00D5287F" w:rsidRDefault="00005B2B" w:rsidP="00005B2B">
      <w:pPr>
        <w:spacing w:after="0" w:line="240" w:lineRule="auto"/>
        <w:jc w:val="both"/>
        <w:rPr>
          <w:rFonts w:asciiTheme="majorBidi" w:hAnsiTheme="majorBidi" w:cstheme="majorBidi"/>
          <w:b/>
          <w:bCs/>
          <w:sz w:val="28"/>
          <w:szCs w:val="28"/>
          <w:u w:val="double"/>
          <w:rtl/>
          <w:lang w:bidi="ar-IQ"/>
        </w:rPr>
      </w:pPr>
      <w:r w:rsidRPr="00D5287F">
        <w:rPr>
          <w:rFonts w:asciiTheme="majorBidi" w:hAnsiTheme="majorBidi" w:cstheme="majorBidi"/>
          <w:b/>
          <w:bCs/>
          <w:sz w:val="28"/>
          <w:szCs w:val="28"/>
          <w:u w:val="double"/>
          <w:rtl/>
          <w:lang w:bidi="ar-IQ"/>
        </w:rPr>
        <w:t>المقترحات</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1ـ نهيب بالمشرع العادي التقيد بالنصوص الدستورية ومراجعتها عند تشريع القوانين بما يمتلك من سلطة تقديرية، لتقيل فرص الانتهاك أو المساس بملكيات الأفراد الخاصة عن تشريع القوانين مستقبلًا.</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2ـ المبادرة بتشريع قوانين جديدة تسهم بتوفير حماية قانونية متكاملة أو تعديل النصوص المتعلقة بحق الملكية الخاصة التي أستمر </w:t>
      </w:r>
      <w:proofErr w:type="spellStart"/>
      <w:r w:rsidRPr="00005B2B">
        <w:rPr>
          <w:rFonts w:asciiTheme="majorBidi" w:hAnsiTheme="majorBidi" w:cstheme="majorBidi"/>
          <w:sz w:val="28"/>
          <w:szCs w:val="28"/>
          <w:rtl/>
          <w:lang w:bidi="ar-IQ"/>
        </w:rPr>
        <w:t>نفاذها</w:t>
      </w:r>
      <w:proofErr w:type="spellEnd"/>
      <w:r w:rsidRPr="00005B2B">
        <w:rPr>
          <w:rFonts w:asciiTheme="majorBidi" w:hAnsiTheme="majorBidi" w:cstheme="majorBidi"/>
          <w:sz w:val="28"/>
          <w:szCs w:val="28"/>
          <w:rtl/>
          <w:lang w:bidi="ar-IQ"/>
        </w:rPr>
        <w:t xml:space="preserve"> بعد صدور دستور على نحو يعزز حق الملكية الخاصة، ويمكن الاستدلال بأحكام القضاء الدستوري وبالنصوص التي حكم بعدم دستوريتها لتجنب تكرار الأخطاء .</w:t>
      </w:r>
    </w:p>
    <w:p w:rsidR="00005B2B" w:rsidRPr="00005B2B" w:rsidRDefault="00005B2B" w:rsidP="00005B2B">
      <w:p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3- العمل على إرساء مبدأ التوازن بين حق الملكية الخاصة والمصلحة العامة أو النظام العام بالقواعد القانونية، ويمكن أن تستشف ضمنًا من أحكام القضاء الدستوري، لما للقضاء الدستوري من دور مهم وفعال في إرساء الكثير من المبادئ القانونية.</w:t>
      </w:r>
    </w:p>
    <w:p w:rsidR="00005B2B" w:rsidRDefault="00005B2B" w:rsidP="00005B2B">
      <w:pPr>
        <w:spacing w:after="0" w:line="240" w:lineRule="auto"/>
        <w:jc w:val="both"/>
        <w:rPr>
          <w:rFonts w:asciiTheme="majorBidi" w:hAnsiTheme="majorBidi" w:cstheme="majorBidi" w:hint="cs"/>
          <w:sz w:val="28"/>
          <w:szCs w:val="28"/>
          <w:rtl/>
          <w:lang w:bidi="ar-IQ"/>
        </w:rPr>
      </w:pPr>
    </w:p>
    <w:p w:rsidR="00D5287F" w:rsidRDefault="00D5287F" w:rsidP="00005B2B">
      <w:pPr>
        <w:spacing w:after="0" w:line="240" w:lineRule="auto"/>
        <w:jc w:val="both"/>
        <w:rPr>
          <w:rFonts w:asciiTheme="majorBidi" w:hAnsiTheme="majorBidi" w:cstheme="majorBidi" w:hint="cs"/>
          <w:sz w:val="28"/>
          <w:szCs w:val="28"/>
          <w:rtl/>
          <w:lang w:bidi="ar-IQ"/>
        </w:rPr>
      </w:pPr>
    </w:p>
    <w:p w:rsidR="00D5287F" w:rsidRDefault="00D5287F" w:rsidP="00005B2B">
      <w:pPr>
        <w:spacing w:after="0" w:line="240" w:lineRule="auto"/>
        <w:jc w:val="both"/>
        <w:rPr>
          <w:rFonts w:asciiTheme="majorBidi" w:hAnsiTheme="majorBidi" w:cstheme="majorBidi" w:hint="cs"/>
          <w:sz w:val="28"/>
          <w:szCs w:val="28"/>
          <w:rtl/>
          <w:lang w:bidi="ar-IQ"/>
        </w:rPr>
      </w:pPr>
    </w:p>
    <w:p w:rsidR="00D5287F" w:rsidRDefault="00D5287F" w:rsidP="00005B2B">
      <w:pPr>
        <w:spacing w:after="0" w:line="240" w:lineRule="auto"/>
        <w:jc w:val="both"/>
        <w:rPr>
          <w:rFonts w:asciiTheme="majorBidi" w:hAnsiTheme="majorBidi" w:cstheme="majorBidi" w:hint="cs"/>
          <w:sz w:val="28"/>
          <w:szCs w:val="28"/>
          <w:rtl/>
          <w:lang w:bidi="ar-IQ"/>
        </w:rPr>
      </w:pPr>
    </w:p>
    <w:p w:rsidR="00D5287F" w:rsidRPr="00005B2B" w:rsidRDefault="00D5287F" w:rsidP="00005B2B">
      <w:pPr>
        <w:spacing w:after="0" w:line="240" w:lineRule="auto"/>
        <w:jc w:val="both"/>
        <w:rPr>
          <w:rFonts w:asciiTheme="majorBidi" w:hAnsiTheme="majorBidi" w:cstheme="majorBidi"/>
          <w:sz w:val="28"/>
          <w:szCs w:val="28"/>
          <w:rtl/>
          <w:lang w:bidi="ar-IQ"/>
        </w:rPr>
      </w:pPr>
    </w:p>
    <w:p w:rsidR="00005B2B" w:rsidRPr="00005B2B" w:rsidRDefault="00005B2B" w:rsidP="00005B2B">
      <w:pPr>
        <w:spacing w:after="0" w:line="240" w:lineRule="auto"/>
        <w:jc w:val="both"/>
        <w:rPr>
          <w:rFonts w:asciiTheme="majorBidi" w:hAnsiTheme="majorBidi" w:cstheme="majorBidi"/>
          <w:sz w:val="28"/>
          <w:szCs w:val="28"/>
          <w:u w:val="double"/>
          <w:rtl/>
          <w:lang w:bidi="ar-IQ"/>
        </w:rPr>
      </w:pPr>
      <w:r w:rsidRPr="00005B2B">
        <w:rPr>
          <w:rFonts w:asciiTheme="majorBidi" w:hAnsiTheme="majorBidi" w:cstheme="majorBidi"/>
          <w:sz w:val="28"/>
          <w:szCs w:val="28"/>
          <w:u w:val="double"/>
          <w:rtl/>
          <w:lang w:bidi="ar-IQ"/>
        </w:rPr>
        <w:t>الهوامش</w:t>
      </w:r>
    </w:p>
    <w:p w:rsidR="00005B2B" w:rsidRPr="00005B2B" w:rsidRDefault="00005B2B" w:rsidP="00005B2B">
      <w:pPr>
        <w:spacing w:after="0" w:line="240" w:lineRule="auto"/>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1ـ وأن ذلك لا يعني أغفال أهمية الدستور العرفي في حماية الحقوق، ذلك لما يشهده دستور الأمريكي غير المكتوب من أهمية عالية واهتمام بأغلب التفاصيل الدستورية، عمار عباس الحسيني، حقوق الأنسان، ط4، منشورات مكتبة دار السلام القانونية، النجف، 2022، ص 60.</w:t>
      </w:r>
    </w:p>
    <w:p w:rsidR="00005B2B" w:rsidRPr="00005B2B" w:rsidRDefault="00005B2B" w:rsidP="00005B2B">
      <w:pPr>
        <w:pStyle w:val="a7"/>
        <w:numPr>
          <w:ilvl w:val="0"/>
          <w:numId w:val="25"/>
        </w:numPr>
        <w:spacing w:after="0" w:line="240" w:lineRule="auto"/>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المادة (17) من </w:t>
      </w:r>
      <w:proofErr w:type="spellStart"/>
      <w:r w:rsidRPr="00005B2B">
        <w:rPr>
          <w:rFonts w:asciiTheme="majorBidi" w:hAnsiTheme="majorBidi" w:cstheme="majorBidi"/>
          <w:sz w:val="28"/>
          <w:szCs w:val="28"/>
          <w:rtl/>
          <w:lang w:bidi="ar-IQ"/>
        </w:rPr>
        <w:t>أعلان</w:t>
      </w:r>
      <w:proofErr w:type="spellEnd"/>
      <w:r w:rsidRPr="00005B2B">
        <w:rPr>
          <w:rFonts w:asciiTheme="majorBidi" w:hAnsiTheme="majorBidi" w:cstheme="majorBidi"/>
          <w:sz w:val="28"/>
          <w:szCs w:val="28"/>
          <w:rtl/>
          <w:lang w:bidi="ar-IQ"/>
        </w:rPr>
        <w:t xml:space="preserve"> حقوق الأنسان والمواطن لسنة 1789. </w:t>
      </w:r>
    </w:p>
    <w:p w:rsidR="00005B2B" w:rsidRPr="00005B2B" w:rsidRDefault="00005B2B" w:rsidP="00005B2B">
      <w:pPr>
        <w:pStyle w:val="a7"/>
        <w:numPr>
          <w:ilvl w:val="0"/>
          <w:numId w:val="25"/>
        </w:numPr>
        <w:spacing w:after="0" w:line="240" w:lineRule="auto"/>
        <w:jc w:val="both"/>
        <w:rPr>
          <w:rFonts w:asciiTheme="majorBidi" w:hAnsiTheme="majorBidi" w:cstheme="majorBidi"/>
          <w:sz w:val="28"/>
          <w:szCs w:val="28"/>
          <w:lang w:bidi="ar-IQ"/>
        </w:rPr>
      </w:pPr>
      <w:r w:rsidRPr="00005B2B">
        <w:rPr>
          <w:rFonts w:asciiTheme="majorBidi" w:hAnsiTheme="majorBidi" w:cstheme="majorBidi"/>
          <w:sz w:val="28"/>
          <w:szCs w:val="28"/>
          <w:lang w:bidi="ar-IQ"/>
        </w:rPr>
        <w:t xml:space="preserve">Francis </w:t>
      </w:r>
      <w:proofErr w:type="spellStart"/>
      <w:r w:rsidRPr="00005B2B">
        <w:rPr>
          <w:rFonts w:asciiTheme="majorBidi" w:hAnsiTheme="majorBidi" w:cstheme="majorBidi"/>
          <w:sz w:val="28"/>
          <w:szCs w:val="28"/>
          <w:lang w:bidi="ar-IQ"/>
        </w:rPr>
        <w:t>Hamon</w:t>
      </w:r>
      <w:proofErr w:type="spellEnd"/>
      <w:r w:rsidRPr="00005B2B">
        <w:rPr>
          <w:rFonts w:asciiTheme="majorBidi" w:hAnsiTheme="majorBidi" w:cstheme="majorBidi"/>
          <w:sz w:val="28"/>
          <w:szCs w:val="28"/>
          <w:lang w:bidi="ar-IQ"/>
        </w:rPr>
        <w:t xml:space="preserve">, Michel </w:t>
      </w:r>
      <w:proofErr w:type="spellStart"/>
      <w:r w:rsidRPr="00005B2B">
        <w:rPr>
          <w:rFonts w:asciiTheme="majorBidi" w:hAnsiTheme="majorBidi" w:cstheme="majorBidi"/>
          <w:sz w:val="28"/>
          <w:szCs w:val="28"/>
          <w:lang w:bidi="ar-IQ"/>
        </w:rPr>
        <w:t>Troper</w:t>
      </w:r>
      <w:proofErr w:type="spellEnd"/>
      <w:r w:rsidRPr="00005B2B">
        <w:rPr>
          <w:rFonts w:asciiTheme="majorBidi" w:hAnsiTheme="majorBidi" w:cstheme="majorBidi"/>
          <w:sz w:val="28"/>
          <w:szCs w:val="28"/>
          <w:lang w:bidi="ar-IQ"/>
        </w:rPr>
        <w:t xml:space="preserve">, Droid constitutional, LGDJ letters </w:t>
      </w:r>
      <w:proofErr w:type="spellStart"/>
      <w:r w:rsidRPr="00005B2B">
        <w:rPr>
          <w:rFonts w:asciiTheme="majorBidi" w:hAnsiTheme="majorBidi" w:cstheme="majorBidi"/>
          <w:sz w:val="28"/>
          <w:szCs w:val="28"/>
          <w:lang w:bidi="ar-IQ"/>
        </w:rPr>
        <w:t>éditions</w:t>
      </w:r>
      <w:proofErr w:type="spellEnd"/>
      <w:r w:rsidRPr="00005B2B">
        <w:rPr>
          <w:rFonts w:asciiTheme="majorBidi" w:hAnsiTheme="majorBidi" w:cstheme="majorBidi"/>
          <w:sz w:val="28"/>
          <w:szCs w:val="28"/>
          <w:lang w:bidi="ar-IQ"/>
        </w:rPr>
        <w:t>, 2014, p.344</w:t>
      </w:r>
      <w:r w:rsidRPr="00005B2B">
        <w:rPr>
          <w:rFonts w:asciiTheme="majorBidi" w:hAnsiTheme="majorBidi" w:cstheme="majorBidi"/>
          <w:sz w:val="28"/>
          <w:szCs w:val="28"/>
          <w:rtl/>
          <w:lang w:bidi="ar-IQ"/>
        </w:rPr>
        <w:t xml:space="preserve">.  </w:t>
      </w:r>
    </w:p>
    <w:p w:rsidR="00005B2B" w:rsidRPr="00005B2B" w:rsidRDefault="00005B2B" w:rsidP="00005B2B">
      <w:pPr>
        <w:pStyle w:val="a7"/>
        <w:numPr>
          <w:ilvl w:val="0"/>
          <w:numId w:val="25"/>
        </w:num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الفقرة التاسعة من مقدمة دستور فرنسا لعام 1946.</w:t>
      </w:r>
    </w:p>
    <w:p w:rsidR="00005B2B" w:rsidRPr="00005B2B" w:rsidRDefault="00005B2B" w:rsidP="00005B2B">
      <w:pPr>
        <w:pStyle w:val="a7"/>
        <w:numPr>
          <w:ilvl w:val="0"/>
          <w:numId w:val="25"/>
        </w:numPr>
        <w:spacing w:after="0" w:line="240" w:lineRule="auto"/>
        <w:jc w:val="both"/>
        <w:rPr>
          <w:rFonts w:asciiTheme="majorBidi" w:hAnsiTheme="majorBidi" w:cstheme="majorBidi"/>
          <w:sz w:val="28"/>
          <w:szCs w:val="28"/>
          <w:lang w:bidi="ar-IQ"/>
        </w:rPr>
      </w:pPr>
      <w:r w:rsidRPr="00005B2B">
        <w:rPr>
          <w:rFonts w:asciiTheme="majorBidi" w:hAnsiTheme="majorBidi" w:cstheme="majorBidi"/>
          <w:sz w:val="28"/>
          <w:szCs w:val="28"/>
          <w:lang w:bidi="ar-IQ"/>
        </w:rPr>
        <w:t xml:space="preserve">Francis </w:t>
      </w:r>
      <w:proofErr w:type="spellStart"/>
      <w:r w:rsidRPr="00005B2B">
        <w:rPr>
          <w:rFonts w:asciiTheme="majorBidi" w:hAnsiTheme="majorBidi" w:cstheme="majorBidi"/>
          <w:sz w:val="28"/>
          <w:szCs w:val="28"/>
          <w:lang w:bidi="ar-IQ"/>
        </w:rPr>
        <w:t>Hamon</w:t>
      </w:r>
      <w:proofErr w:type="spellEnd"/>
      <w:r w:rsidRPr="00005B2B">
        <w:rPr>
          <w:rFonts w:asciiTheme="majorBidi" w:hAnsiTheme="majorBidi" w:cstheme="majorBidi"/>
          <w:sz w:val="28"/>
          <w:szCs w:val="28"/>
          <w:lang w:bidi="ar-IQ"/>
        </w:rPr>
        <w:t xml:space="preserve">, , Michel </w:t>
      </w:r>
      <w:proofErr w:type="spellStart"/>
      <w:r w:rsidRPr="00005B2B">
        <w:rPr>
          <w:rFonts w:asciiTheme="majorBidi" w:hAnsiTheme="majorBidi" w:cstheme="majorBidi"/>
          <w:sz w:val="28"/>
          <w:szCs w:val="28"/>
          <w:lang w:bidi="ar-IQ"/>
        </w:rPr>
        <w:t>Troper</w:t>
      </w:r>
      <w:proofErr w:type="spellEnd"/>
      <w:r w:rsidRPr="00005B2B">
        <w:rPr>
          <w:rFonts w:asciiTheme="majorBidi" w:hAnsiTheme="majorBidi" w:cstheme="majorBidi"/>
          <w:sz w:val="28"/>
          <w:szCs w:val="28"/>
          <w:lang w:bidi="ar-IQ"/>
        </w:rPr>
        <w:t xml:space="preserve"> , p.345</w:t>
      </w:r>
    </w:p>
    <w:p w:rsidR="00005B2B" w:rsidRPr="00005B2B" w:rsidRDefault="00005B2B" w:rsidP="00005B2B">
      <w:pPr>
        <w:pStyle w:val="a7"/>
        <w:numPr>
          <w:ilvl w:val="0"/>
          <w:numId w:val="25"/>
        </w:numPr>
        <w:spacing w:after="0" w:line="240" w:lineRule="auto"/>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د. محمد ثامر، حقوق الانسان الاجتماعية والاقتصادية والثقافية، مكتبة الفيض، 2013، ص200.</w:t>
      </w:r>
    </w:p>
    <w:p w:rsidR="00005B2B" w:rsidRPr="00005B2B" w:rsidRDefault="00005B2B" w:rsidP="00005B2B">
      <w:pPr>
        <w:pStyle w:val="a7"/>
        <w:numPr>
          <w:ilvl w:val="0"/>
          <w:numId w:val="25"/>
        </w:numPr>
        <w:spacing w:after="0" w:line="240" w:lineRule="auto"/>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المادة (9) من الدستور المصري لسنة 1923 الملغى.</w:t>
      </w:r>
    </w:p>
    <w:p w:rsidR="00005B2B" w:rsidRPr="00005B2B" w:rsidRDefault="00005B2B" w:rsidP="00005B2B">
      <w:pPr>
        <w:pStyle w:val="a7"/>
        <w:numPr>
          <w:ilvl w:val="0"/>
          <w:numId w:val="25"/>
        </w:num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المادة (10) من الدستور أعلاه.</w:t>
      </w:r>
    </w:p>
    <w:p w:rsidR="00005B2B" w:rsidRPr="00005B2B" w:rsidRDefault="00005B2B" w:rsidP="00005B2B">
      <w:pPr>
        <w:pStyle w:val="a7"/>
        <w:numPr>
          <w:ilvl w:val="0"/>
          <w:numId w:val="25"/>
        </w:num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المادة (11) من الدستور المصري لسنة 1956 الملغى.</w:t>
      </w:r>
    </w:p>
    <w:p w:rsidR="00005B2B" w:rsidRPr="00005B2B" w:rsidRDefault="00005B2B" w:rsidP="00005B2B">
      <w:pPr>
        <w:pStyle w:val="a7"/>
        <w:numPr>
          <w:ilvl w:val="0"/>
          <w:numId w:val="25"/>
        </w:numPr>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المادة (5) من دستور الجمهورية العربية المتحدة المؤقت لسنة 1958 الملغى.</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المادة (16) من الدستور المصري لعام 1946 الملغى</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 (32)من الدستور المصري الصادر 1971 الملغى.</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 (24) من الدستور أعلاه.</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 (35) من الدستور أعلاه.</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 (36) من الدستور أعلاه</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المادة(21) من الدستور المصري لسنة2012الملغى.</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 (24)من الدستور أعلاه..</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المادة(30) و(29)من الدستور أعلاه.</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د. محمد سالم النمر، مصدر سابق، ص81.</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د. عاطف سلمان عبد الرحمن، دور القضاء الدستوري في الإصلاح السياسي- الاجتماعي- الاقتصادي، دار النهضة العربية، القاهرة، 2011، ص793.</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المادة(10) من القانون الأساسي العراقي لسنة 1952 الملغى.</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 (13)من الدستور العراقي المؤقت لسنة 1958 الملغى.</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 (12)من الدستور العراقي المؤقت لسنة 1963الملغى.</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 (17) من الدستور العراقي المؤقت لسنة 1968 الملغى.</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المادة (16) من الدستور العراقي المؤقت لسنة 1970 الملغى.</w:t>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المادة(16) من قانون إدارة الدولة للمرحلة الانتقالية لسنة2004 الملغى.</w:t>
      </w:r>
      <w:r w:rsidRPr="00005B2B">
        <w:rPr>
          <w:rFonts w:asciiTheme="majorBidi" w:hAnsiTheme="majorBidi" w:cstheme="majorBidi"/>
          <w:sz w:val="28"/>
          <w:szCs w:val="28"/>
          <w:rtl/>
          <w:lang w:bidi="ar-IQ"/>
        </w:rPr>
        <w:tab/>
      </w:r>
    </w:p>
    <w:p w:rsidR="00005B2B" w:rsidRPr="00005B2B" w:rsidRDefault="00005B2B" w:rsidP="00D5287F">
      <w:pPr>
        <w:pStyle w:val="a7"/>
        <w:numPr>
          <w:ilvl w:val="0"/>
          <w:numId w:val="25"/>
        </w:numPr>
        <w:tabs>
          <w:tab w:val="left" w:pos="360"/>
          <w:tab w:val="left" w:pos="450"/>
        </w:tabs>
        <w:spacing w:after="0" w:line="240" w:lineRule="auto"/>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 (49/أ) من القانون أعلاه.</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lastRenderedPageBreak/>
        <w:t>كما حددت بعض الدساتير حد اقصى لتملك الأفراد الأراضي الزراعية، وأخذ بعض الدساتير العراقية بهذا القيد لما كان يعرف بالإصلاح الزراعي.</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د. احمد فتحي سرور، الحماية الدستورية للحقوق والحريات، دار الشروق، بيروت، 2000، ص47.</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د. عمار عباس الحسيني، مصدر سابق ، ص 60.</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د. زهراء عبد الحافظ، م. حسان صادق جاسم، اثر النصوص الدستورية في بناء حقوق الانسان، بحث مقدم ضمن بحوث المؤتمر العلمي السنوي الثالث لقسم الدراسات السياسية- بيت الحكمة، بغداد، 2014، ص 416.</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المادة35 من الدستور المصري لسنة 2014 النافذ (المعدل).</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المادة40 من الدستور المصري لسنة2014 النافذ (المعدل).</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د. عصام علي الدبس، النظم السياسية- الحقوق والحريات العامة وضمانات حمايتها، دار الثقافة، عمان، 2011، ص453.</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((أن الدساتير المصرية المتعاقبة قد حرصت جميعها منذ دستور سنة 1923 على النص على مبدأ صون الملكية الخاصة وحرمتها بعدها في الأصل ثمرة النشاط الفردي، وحافزة على الانطلاق والتقدم، فضلًا عن أنها مصدر من مصادر الثروة القومية والتي لابد من تنميتها والحفاظ عليها لتؤدي وظيفتها الاجتماعية في خدمة الاقتصاد القومي، ومن أجل ذلك حظرت تلك الدساتير نزع الملكية الخاصة جبرًا عن صاحبها إلا للمنفعة العامة ومقابل تعويض)). حكم المحكمة الدستورية العليا الصادر بجلسة 25 يونيو سنة 1983، في القضية رقم 3 لسنة 1 قضائية" .</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المادة 23 من الدستور العراقي لعام 2005 النافذ.</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 (136/أولًا) من دستور العراق لسنة 2005 النافذ.</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 (37) من دستور مصر لسنة 1971 الملغى.</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هبة نعمة منصور، أثر التعديلات الدستورية على نظام الحكم في </w:t>
      </w:r>
      <w:proofErr w:type="spellStart"/>
      <w:r w:rsidRPr="00005B2B">
        <w:rPr>
          <w:rFonts w:asciiTheme="majorBidi" w:hAnsiTheme="majorBidi" w:cstheme="majorBidi"/>
          <w:sz w:val="28"/>
          <w:szCs w:val="28"/>
          <w:rtl/>
          <w:lang w:bidi="ar-IQ"/>
        </w:rPr>
        <w:t>الدوبة</w:t>
      </w:r>
      <w:proofErr w:type="spellEnd"/>
      <w:r w:rsidRPr="00005B2B">
        <w:rPr>
          <w:rFonts w:asciiTheme="majorBidi" w:hAnsiTheme="majorBidi" w:cstheme="majorBidi"/>
          <w:sz w:val="28"/>
          <w:szCs w:val="28"/>
          <w:rtl/>
          <w:lang w:bidi="ar-IQ"/>
        </w:rPr>
        <w:t>، رسالة ماجستير، كلية القانون، جامعة بغداد، 2013، ص48.</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د. أشرف عبد الفتاح أبو المجد، التنظيم الدستوري للحقوق والحريات الاقتصادية، المركز القومي للإصدارات القانونية، القاهرة، 2015، ص45.</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 د. فاروق عبد البر، دور المحكمة الدستورية في حماية الحقوق والحريات، النسر الذهبي، القاهرة، 2004، ص798.</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 (10) من القانون الأساسي العراقي لسنة 1925 الملغى.</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عدل نص المادة العاشرة من القانون الأساسي العراقي بموجب المادة الخامسة من التعديل الثاني لسنة1943.</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هبة نعمة منصور، مصدر سابق، ص50.</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المادة(17) من دستور العراق لسنة 1968 المؤقت.</w:t>
      </w:r>
    </w:p>
    <w:p w:rsidR="00005B2B" w:rsidRPr="00005B2B" w:rsidRDefault="00005B2B" w:rsidP="00D5287F">
      <w:pPr>
        <w:pStyle w:val="a7"/>
        <w:numPr>
          <w:ilvl w:val="0"/>
          <w:numId w:val="25"/>
        </w:numPr>
        <w:tabs>
          <w:tab w:val="left" w:pos="450"/>
        </w:tabs>
        <w:spacing w:after="0" w:line="240" w:lineRule="auto"/>
        <w:ind w:left="0" w:firstLine="0"/>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هبة نعمة منصور، مصدر سابق، ص51-52.</w:t>
      </w:r>
    </w:p>
    <w:p w:rsidR="00005B2B" w:rsidRPr="00005B2B" w:rsidRDefault="00005B2B" w:rsidP="00D5287F">
      <w:pPr>
        <w:pStyle w:val="a7"/>
        <w:numPr>
          <w:ilvl w:val="0"/>
          <w:numId w:val="25"/>
        </w:numPr>
        <w:tabs>
          <w:tab w:val="left" w:pos="450"/>
        </w:tabs>
        <w:spacing w:after="0" w:line="240" w:lineRule="auto"/>
        <w:ind w:left="0" w:firstLine="0"/>
        <w:rPr>
          <w:rFonts w:asciiTheme="majorBidi" w:hAnsiTheme="majorBidi" w:cstheme="majorBidi"/>
          <w:sz w:val="28"/>
          <w:szCs w:val="28"/>
          <w:rtl/>
          <w:lang w:bidi="ar-IQ"/>
        </w:rPr>
      </w:pPr>
      <w:r w:rsidRPr="00005B2B">
        <w:rPr>
          <w:rFonts w:asciiTheme="majorBidi" w:hAnsiTheme="majorBidi" w:cstheme="majorBidi"/>
          <w:sz w:val="28"/>
          <w:szCs w:val="28"/>
          <w:rtl/>
          <w:lang w:bidi="ar-IQ"/>
        </w:rPr>
        <w:lastRenderedPageBreak/>
        <w:t xml:space="preserve"> المادة(الأولى/الفقرة العاشرة) من دستور الولايات المتحدة الأمريكية الصادر سنة1789(المعدل).</w:t>
      </w:r>
    </w:p>
    <w:p w:rsidR="00005B2B" w:rsidRPr="00005B2B" w:rsidRDefault="00005B2B" w:rsidP="00D5287F">
      <w:pPr>
        <w:pStyle w:val="a7"/>
        <w:numPr>
          <w:ilvl w:val="0"/>
          <w:numId w:val="25"/>
        </w:numPr>
        <w:tabs>
          <w:tab w:val="left" w:pos="450"/>
        </w:tabs>
        <w:spacing w:after="0" w:line="240" w:lineRule="auto"/>
        <w:ind w:left="0" w:firstLine="0"/>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د. مها بهجت يونس، الحكم بعم دستورية نص تشريعي ودوره في تعزيز دولة القانون، بيت الحكمة، بغداد، 2009،ص310.</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proofErr w:type="spellStart"/>
      <w:r w:rsidRPr="00005B2B">
        <w:rPr>
          <w:rFonts w:asciiTheme="majorBidi" w:hAnsiTheme="majorBidi" w:cstheme="majorBidi"/>
          <w:sz w:val="28"/>
          <w:szCs w:val="28"/>
          <w:lang w:bidi="ar-IQ"/>
        </w:rPr>
        <w:t>Allgeyer</w:t>
      </w:r>
      <w:proofErr w:type="spellEnd"/>
      <w:r w:rsidRPr="00005B2B">
        <w:rPr>
          <w:rFonts w:asciiTheme="majorBidi" w:hAnsiTheme="majorBidi" w:cstheme="majorBidi"/>
          <w:sz w:val="28"/>
          <w:szCs w:val="28"/>
          <w:lang w:bidi="ar-IQ"/>
        </w:rPr>
        <w:t xml:space="preserve"> v. State of Louisiana , 165 U.S. 578 (1897</w:t>
      </w:r>
      <w:r w:rsidRPr="00005B2B">
        <w:rPr>
          <w:rFonts w:asciiTheme="majorBidi" w:hAnsiTheme="majorBidi" w:cstheme="majorBidi"/>
          <w:sz w:val="28"/>
          <w:szCs w:val="28"/>
          <w:rtl/>
          <w:lang w:bidi="ar-IQ"/>
        </w:rPr>
        <w:t>)نقلا عن د. أحمد كمال أبو المجد ، الرقابة على دستورية القوانين في الولايات المتحدة الأمريكية والإقليم المصري، مكتبة النهضة العربية، القاهرة، 1960، ص323.</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من الجدير بالذكر، أن التعديل الرابع عشر صدر (بعد </w:t>
      </w:r>
      <w:proofErr w:type="spellStart"/>
      <w:r w:rsidRPr="00005B2B">
        <w:rPr>
          <w:rFonts w:asciiTheme="majorBidi" w:hAnsiTheme="majorBidi" w:cstheme="majorBidi"/>
          <w:sz w:val="28"/>
          <w:szCs w:val="28"/>
          <w:rtl/>
          <w:lang w:bidi="ar-IQ"/>
        </w:rPr>
        <w:t>أعلان</w:t>
      </w:r>
      <w:proofErr w:type="spellEnd"/>
      <w:r w:rsidRPr="00005B2B">
        <w:rPr>
          <w:rFonts w:asciiTheme="majorBidi" w:hAnsiTheme="majorBidi" w:cstheme="majorBidi"/>
          <w:sz w:val="28"/>
          <w:szCs w:val="28"/>
          <w:rtl/>
          <w:lang w:bidi="ar-IQ"/>
        </w:rPr>
        <w:t xml:space="preserve"> التحرير الذي وضعه(لنكولن)سنة1863لتحرير الرقيق في الولايات المرتدة مع اندلاع الحرب الأهلية، على أثر حكم في قضة دريد سكوت التي مؤداها أن كل السود، عبيد كانوا أم أحرار ليسوا مواطنين، فليس لهم الحق في رفع دعوى أمام محكمة فيدرالية)، وبالتالي وضع التعديل ليؤكد على مبدأ الحماية المتساوية للكافة وعدم حرمان أحد من حقوقه في الملكية الخاصة أو الحياة، وبعدها حماية دستورية للمواطن قبال الحكومة. هبة نعمة منصور، مصدر سابق، ص46.</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استغلت المحكمة الاتحادية العليا مبدأ حرية التعاقد للحكم بعدم دستورية الكثير من التشريعات المنطوية على مساس بحق الملكية الخاصة أو بحرية التعاقد ومن ذلك حكمها ((أن للسلطة البوليسية للولايات سلطة محدود بحدود الدستور... والقول بغير ذلك يؤدي لتعارض سلطة الولايات مع مبدأ الحكومة الدستورية))، </w:t>
      </w:r>
      <w:proofErr w:type="spellStart"/>
      <w:r w:rsidRPr="00005B2B">
        <w:rPr>
          <w:rFonts w:asciiTheme="majorBidi" w:hAnsiTheme="majorBidi" w:cstheme="majorBidi"/>
          <w:sz w:val="28"/>
          <w:szCs w:val="28"/>
          <w:lang w:bidi="ar-IQ"/>
        </w:rPr>
        <w:t>Lochner</w:t>
      </w:r>
      <w:proofErr w:type="spellEnd"/>
      <w:r w:rsidRPr="00005B2B">
        <w:rPr>
          <w:rFonts w:asciiTheme="majorBidi" w:hAnsiTheme="majorBidi" w:cstheme="majorBidi"/>
          <w:sz w:val="28"/>
          <w:szCs w:val="28"/>
          <w:lang w:bidi="ar-IQ"/>
        </w:rPr>
        <w:t xml:space="preserve"> v. New York , 198 U.S. 45 (1905</w:t>
      </w:r>
      <w:r w:rsidRPr="00005B2B">
        <w:rPr>
          <w:rFonts w:asciiTheme="majorBidi" w:hAnsiTheme="majorBidi" w:cstheme="majorBidi"/>
          <w:sz w:val="28"/>
          <w:szCs w:val="28"/>
          <w:rtl/>
          <w:lang w:bidi="ar-IQ"/>
        </w:rPr>
        <w:t>)نقلا عن د. احمد كمال ابو المجد ، مصدر سابق، ص327.</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lang w:bidi="ar-IQ"/>
        </w:rPr>
        <w:t xml:space="preserve">Testimony of Roger </w:t>
      </w:r>
      <w:proofErr w:type="spellStart"/>
      <w:r w:rsidRPr="00005B2B">
        <w:rPr>
          <w:rFonts w:asciiTheme="majorBidi" w:hAnsiTheme="majorBidi" w:cstheme="majorBidi"/>
          <w:sz w:val="28"/>
          <w:szCs w:val="28"/>
          <w:lang w:bidi="ar-IQ"/>
        </w:rPr>
        <w:t>Pilon</w:t>
      </w:r>
      <w:proofErr w:type="spellEnd"/>
      <w:r w:rsidRPr="00005B2B">
        <w:rPr>
          <w:rFonts w:asciiTheme="majorBidi" w:hAnsiTheme="majorBidi" w:cstheme="majorBidi"/>
          <w:sz w:val="28"/>
          <w:szCs w:val="28"/>
          <w:lang w:bidi="ar-IQ"/>
        </w:rPr>
        <w:t xml:space="preserve"> , Protecting Private Property Rights from Regulatory Takings , Before the </w:t>
      </w:r>
      <w:proofErr w:type="spellStart"/>
      <w:r w:rsidRPr="00005B2B">
        <w:rPr>
          <w:rFonts w:asciiTheme="majorBidi" w:hAnsiTheme="majorBidi" w:cstheme="majorBidi"/>
          <w:sz w:val="28"/>
          <w:szCs w:val="28"/>
          <w:lang w:bidi="ar-IQ"/>
        </w:rPr>
        <w:t>Subcommitte</w:t>
      </w:r>
      <w:proofErr w:type="spellEnd"/>
      <w:r w:rsidRPr="00005B2B">
        <w:rPr>
          <w:rFonts w:asciiTheme="majorBidi" w:hAnsiTheme="majorBidi" w:cstheme="majorBidi"/>
          <w:sz w:val="28"/>
          <w:szCs w:val="28"/>
          <w:lang w:bidi="ar-IQ"/>
        </w:rPr>
        <w:t xml:space="preserve"> or Constitution Committee on Judiciary united States House of </w:t>
      </w:r>
      <w:proofErr w:type="spellStart"/>
      <w:r w:rsidRPr="00005B2B">
        <w:rPr>
          <w:rFonts w:asciiTheme="majorBidi" w:hAnsiTheme="majorBidi" w:cstheme="majorBidi"/>
          <w:sz w:val="28"/>
          <w:szCs w:val="28"/>
          <w:lang w:bidi="ar-IQ"/>
        </w:rPr>
        <w:t>Reprenatatives</w:t>
      </w:r>
      <w:proofErr w:type="spellEnd"/>
      <w:r w:rsidRPr="00005B2B">
        <w:rPr>
          <w:rFonts w:asciiTheme="majorBidi" w:hAnsiTheme="majorBidi" w:cstheme="majorBidi"/>
          <w:sz w:val="28"/>
          <w:szCs w:val="28"/>
          <w:lang w:bidi="ar-IQ"/>
        </w:rPr>
        <w:t xml:space="preserve"> , Feb.10 , 1995 , P.3</w:t>
      </w:r>
      <w:r w:rsidRPr="00005B2B">
        <w:rPr>
          <w:rFonts w:asciiTheme="majorBidi" w:hAnsiTheme="majorBidi" w:cstheme="majorBidi"/>
          <w:sz w:val="28"/>
          <w:szCs w:val="28"/>
          <w:rtl/>
          <w:lang w:bidi="ar-IQ"/>
        </w:rPr>
        <w:t>.أشار له- مها بهجت يونس، مصدر سابق، ص314.</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أصدرت المحكمة الاتحادية العديد من القضايا المهمة حول تعويض </w:t>
      </w:r>
      <w:proofErr w:type="spellStart"/>
      <w:r w:rsidRPr="00005B2B">
        <w:rPr>
          <w:rFonts w:asciiTheme="majorBidi" w:hAnsiTheme="majorBidi" w:cstheme="majorBidi"/>
          <w:sz w:val="28"/>
          <w:szCs w:val="28"/>
          <w:rtl/>
          <w:lang w:bidi="ar-IQ"/>
        </w:rPr>
        <w:t>الأفرد</w:t>
      </w:r>
      <w:proofErr w:type="spellEnd"/>
      <w:r w:rsidRPr="00005B2B">
        <w:rPr>
          <w:rFonts w:asciiTheme="majorBidi" w:hAnsiTheme="majorBidi" w:cstheme="majorBidi"/>
          <w:sz w:val="28"/>
          <w:szCs w:val="28"/>
          <w:rtl/>
          <w:lang w:bidi="ar-IQ"/>
        </w:rPr>
        <w:t xml:space="preserve">، ولنا </w:t>
      </w:r>
      <w:proofErr w:type="spellStart"/>
      <w:r w:rsidRPr="00005B2B">
        <w:rPr>
          <w:rFonts w:asciiTheme="majorBidi" w:hAnsiTheme="majorBidi" w:cstheme="majorBidi"/>
          <w:sz w:val="28"/>
          <w:szCs w:val="28"/>
          <w:rtl/>
          <w:lang w:bidi="ar-IQ"/>
        </w:rPr>
        <w:t>عسبيل</w:t>
      </w:r>
      <w:proofErr w:type="spellEnd"/>
      <w:r w:rsidRPr="00005B2B">
        <w:rPr>
          <w:rFonts w:asciiTheme="majorBidi" w:hAnsiTheme="majorBidi" w:cstheme="majorBidi"/>
          <w:sz w:val="28"/>
          <w:szCs w:val="28"/>
          <w:rtl/>
          <w:lang w:bidi="ar-IQ"/>
        </w:rPr>
        <w:t xml:space="preserve"> المثال القضية(قضية </w:t>
      </w:r>
      <w:r w:rsidRPr="00005B2B">
        <w:rPr>
          <w:rFonts w:asciiTheme="majorBidi" w:hAnsiTheme="majorBidi" w:cstheme="majorBidi"/>
          <w:sz w:val="28"/>
          <w:szCs w:val="28"/>
          <w:lang w:bidi="ar-IQ"/>
        </w:rPr>
        <w:t xml:space="preserve">First English </w:t>
      </w:r>
      <w:proofErr w:type="spellStart"/>
      <w:r w:rsidRPr="00005B2B">
        <w:rPr>
          <w:rFonts w:asciiTheme="majorBidi" w:hAnsiTheme="majorBidi" w:cstheme="majorBidi"/>
          <w:sz w:val="28"/>
          <w:szCs w:val="28"/>
          <w:lang w:bidi="ar-IQ"/>
        </w:rPr>
        <w:t>Evange</w:t>
      </w:r>
      <w:proofErr w:type="spellEnd"/>
      <w:r w:rsidRPr="00005B2B">
        <w:rPr>
          <w:rFonts w:asciiTheme="majorBidi" w:hAnsiTheme="majorBidi" w:cstheme="majorBidi"/>
          <w:sz w:val="28"/>
          <w:szCs w:val="28"/>
          <w:lang w:bidi="ar-IQ"/>
        </w:rPr>
        <w:t xml:space="preserve"> </w:t>
      </w:r>
      <w:proofErr w:type="spellStart"/>
      <w:r w:rsidRPr="00005B2B">
        <w:rPr>
          <w:rFonts w:asciiTheme="majorBidi" w:hAnsiTheme="majorBidi" w:cstheme="majorBidi"/>
          <w:sz w:val="28"/>
          <w:szCs w:val="28"/>
          <w:lang w:bidi="ar-IQ"/>
        </w:rPr>
        <w:t>lical</w:t>
      </w:r>
      <w:proofErr w:type="spellEnd"/>
      <w:r w:rsidRPr="00005B2B">
        <w:rPr>
          <w:rFonts w:asciiTheme="majorBidi" w:hAnsiTheme="majorBidi" w:cstheme="majorBidi"/>
          <w:sz w:val="28"/>
          <w:szCs w:val="28"/>
          <w:lang w:bidi="ar-IQ"/>
        </w:rPr>
        <w:t xml:space="preserve"> Lutheran  Church of Glendale v. Los Angeles Country (1987</w:t>
      </w:r>
      <w:r w:rsidRPr="00005B2B">
        <w:rPr>
          <w:rFonts w:asciiTheme="majorBidi" w:hAnsiTheme="majorBidi" w:cstheme="majorBidi"/>
          <w:sz w:val="28"/>
          <w:szCs w:val="28"/>
          <w:rtl/>
          <w:lang w:bidi="ar-IQ"/>
        </w:rPr>
        <w:t>) ، (عدت المحكمة الاتحادية العليا ان فقرة التعويض العادل الواردة بالتعديل الخامس تتطلب دفع مبالغ باعتبارها تعويضاً حتى عن الاستيلاءات (المؤقتة) أي الفترة قبل الحكم النهائي بإبطال قرار الاستيلاء) المصدر نفسه.</w:t>
      </w:r>
    </w:p>
    <w:p w:rsidR="00005B2B" w:rsidRPr="00005B2B" w:rsidRDefault="00005B2B" w:rsidP="00D5287F">
      <w:pPr>
        <w:pStyle w:val="a7"/>
        <w:numPr>
          <w:ilvl w:val="0"/>
          <w:numId w:val="25"/>
        </w:numPr>
        <w:tabs>
          <w:tab w:val="left" w:pos="450"/>
        </w:tabs>
        <w:spacing w:after="0" w:line="240" w:lineRule="auto"/>
        <w:ind w:left="0" w:firstLine="0"/>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د. محمد باقر القزويني، حق مجلس النواب في تشريع القوانين في دستور العراق لسنة2005، مجلة أهل البيت(4)، المجلد(1)العدد(18)،2015، ص8.</w:t>
      </w:r>
    </w:p>
    <w:p w:rsidR="00005B2B" w:rsidRPr="00005B2B" w:rsidRDefault="00005B2B" w:rsidP="00D5287F">
      <w:pPr>
        <w:pStyle w:val="a7"/>
        <w:numPr>
          <w:ilvl w:val="0"/>
          <w:numId w:val="25"/>
        </w:numPr>
        <w:tabs>
          <w:tab w:val="left" w:pos="450"/>
        </w:tabs>
        <w:spacing w:after="0" w:line="240" w:lineRule="auto"/>
        <w:ind w:left="0" w:firstLine="0"/>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شميم مزهر راضي الربيعي، السلطة التشريعية في النظام البرلماني في ضوء دستور جمهورية العراق لسنة2005، كلية القانون، الجامعة المستنصرية،2017، ص146.</w:t>
      </w:r>
    </w:p>
    <w:p w:rsidR="00005B2B" w:rsidRPr="00005B2B" w:rsidRDefault="00005B2B" w:rsidP="00D5287F">
      <w:pPr>
        <w:pStyle w:val="a7"/>
        <w:numPr>
          <w:ilvl w:val="0"/>
          <w:numId w:val="25"/>
        </w:numPr>
        <w:tabs>
          <w:tab w:val="left" w:pos="450"/>
        </w:tabs>
        <w:spacing w:after="0" w:line="240" w:lineRule="auto"/>
        <w:ind w:left="0" w:firstLine="0"/>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د. نعمان عطا الله الهيتي، تشريع القوانين، دار رسلان للطباعة والنشر، دمشق، 2007،ص27.</w:t>
      </w:r>
    </w:p>
    <w:p w:rsidR="00005B2B" w:rsidRPr="00005B2B" w:rsidRDefault="00005B2B" w:rsidP="00D5287F">
      <w:pPr>
        <w:pStyle w:val="a7"/>
        <w:numPr>
          <w:ilvl w:val="0"/>
          <w:numId w:val="25"/>
        </w:numPr>
        <w:tabs>
          <w:tab w:val="left" w:pos="450"/>
        </w:tabs>
        <w:spacing w:after="0" w:line="240" w:lineRule="auto"/>
        <w:ind w:left="0" w:firstLine="0"/>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د. محمد باقر القزويني، مصدر سابق، ص9.</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lastRenderedPageBreak/>
        <w:t xml:space="preserve"> المادة(24)و(39) من دستور فرنسا لسنة1958المعدل. وتضمنت المادة ((تكون مناقشة مشروعات القوانين الحكومية في مجلس الوزراء بعد التشاور مع مجلس الدولة ويتم عرضها في واحدٍ أو آخر من مجلسي البرلمان، سوف تُطرح مشروعات قوانين المالية وتلك المتعلقة بتمويل الضمان الاجتماعي للمرة الأولى أمام الجمعية الوطنية. دون المساس بالفقرة الأولى من المادة 44فإن مشروعات القوانين التي تعالج بشكل أساسي آلية تنظيم المجتمعات المحلية يجب أن تعرض للمرة الأولى في مجلس الشيوخ، يخضع عرض مشروعات قوانين الحكومة أمام الجمعية الوطنية أو مجلس الشيوخ للشروط التي يحددها قانون أساسي، لا يتم تضمين مشروعات قوانين الحكومة في جدول الأعمال إذا ما أعلن مؤتمر رؤساء مجلس البرلمان الأول الذي تمت إحالة مشروع القانون إليه أنه لم يتم الامتثال للقواعد التي يحددها قانون أساسي. في حالة عدم الاتفاق بين مؤتمر الرؤساء والحكومة، يجوز لرئيس مجلس البرلمان المعني أو لرئيس الوزراء إحالة المسألة إلى المجلس الدستوري الذي سوف يبت فيها في غضون ثمانية أيام، يجوز لرئيس أحد المجلسين، وفقا للشروط المنصوص عليها في القانون، أن يقدم مشروع قانون خاص مقدم من عضو على مجلس الدولة يعرضه عضو من أحد مجلسي البرلمان وذلك لإبداء الرأي فيه قبل النظر فيه في اللجنة، ما لم يعترض هذا العضو على ذلك)).</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المادة(101) من دستور مصر لسنة2014 المعدل. وأشارت المادة(122) إلى ((لرئيس الجمهورية، ولمجلس الوزراء، ولكل عضو </w:t>
      </w:r>
      <w:proofErr w:type="spellStart"/>
      <w:r w:rsidRPr="00005B2B">
        <w:rPr>
          <w:rFonts w:asciiTheme="majorBidi" w:hAnsiTheme="majorBidi" w:cstheme="majorBidi"/>
          <w:sz w:val="28"/>
          <w:szCs w:val="28"/>
          <w:rtl/>
          <w:lang w:bidi="ar-IQ"/>
        </w:rPr>
        <w:t>فى</w:t>
      </w:r>
      <w:proofErr w:type="spellEnd"/>
      <w:r w:rsidRPr="00005B2B">
        <w:rPr>
          <w:rFonts w:asciiTheme="majorBidi" w:hAnsiTheme="majorBidi" w:cstheme="majorBidi"/>
          <w:sz w:val="28"/>
          <w:szCs w:val="28"/>
          <w:rtl/>
          <w:lang w:bidi="ar-IQ"/>
        </w:rPr>
        <w:t xml:space="preserve"> مجلس النواب اقتراح القوانين، ويحال كل مشروع قانون مقدم من الحكومة أو من عُشر أعضاء المجلس إلى اللجان النوعية المختصة بمجلس النواب، لفحصه وتقديم تقرير عنه إلى المجلس، ويجوز للجنة أن تستمع إلى ذوى الخبرة </w:t>
      </w:r>
      <w:proofErr w:type="spellStart"/>
      <w:r w:rsidRPr="00005B2B">
        <w:rPr>
          <w:rFonts w:asciiTheme="majorBidi" w:hAnsiTheme="majorBidi" w:cstheme="majorBidi"/>
          <w:sz w:val="28"/>
          <w:szCs w:val="28"/>
          <w:rtl/>
          <w:lang w:bidi="ar-IQ"/>
        </w:rPr>
        <w:t>فى</w:t>
      </w:r>
      <w:proofErr w:type="spellEnd"/>
      <w:r w:rsidRPr="00005B2B">
        <w:rPr>
          <w:rFonts w:asciiTheme="majorBidi" w:hAnsiTheme="majorBidi" w:cstheme="majorBidi"/>
          <w:sz w:val="28"/>
          <w:szCs w:val="28"/>
          <w:rtl/>
          <w:lang w:bidi="ar-IQ"/>
        </w:rPr>
        <w:t xml:space="preserve"> الموضوع، ولا يحال الاقتراح بقانون المقدم من أحد الأعضاء إلى اللجنة النوعية، إلا إذا أجازته اللجنة المختصة بالمقترحات، ووافق المجلس على ذلك، فإذا رفضت اللجنة الاقتراح بقانون وجب أن يكون قرارها مسبباً، وكل مشروع قانون أو اقتراح بقانون رفضه المجلس، لا يجوز تقديمه ثانية </w:t>
      </w:r>
      <w:proofErr w:type="spellStart"/>
      <w:r w:rsidRPr="00005B2B">
        <w:rPr>
          <w:rFonts w:asciiTheme="majorBidi" w:hAnsiTheme="majorBidi" w:cstheme="majorBidi"/>
          <w:sz w:val="28"/>
          <w:szCs w:val="28"/>
          <w:rtl/>
          <w:lang w:bidi="ar-IQ"/>
        </w:rPr>
        <w:t>فى</w:t>
      </w:r>
      <w:proofErr w:type="spellEnd"/>
      <w:r w:rsidRPr="00005B2B">
        <w:rPr>
          <w:rFonts w:asciiTheme="majorBidi" w:hAnsiTheme="majorBidi" w:cstheme="majorBidi"/>
          <w:sz w:val="28"/>
          <w:szCs w:val="28"/>
          <w:rtl/>
          <w:lang w:bidi="ar-IQ"/>
        </w:rPr>
        <w:t xml:space="preserve"> دور الانعقاد نفسه))، والمادة(123)(( لرئيس الجمهورية حق إصدار القوانين أو الاعتراض عليها، وإذا اعترض رئيس الجمهورية على مشروع قانون أقره مجلس النواب، رده إليه خلال ثلاثين يومًا من إبلاغ المجلس إياه، فإذا لم يرد مشروع القانون </w:t>
      </w:r>
      <w:proofErr w:type="spellStart"/>
      <w:r w:rsidRPr="00005B2B">
        <w:rPr>
          <w:rFonts w:asciiTheme="majorBidi" w:hAnsiTheme="majorBidi" w:cstheme="majorBidi"/>
          <w:sz w:val="28"/>
          <w:szCs w:val="28"/>
          <w:rtl/>
          <w:lang w:bidi="ar-IQ"/>
        </w:rPr>
        <w:t>فى</w:t>
      </w:r>
      <w:proofErr w:type="spellEnd"/>
      <w:r w:rsidRPr="00005B2B">
        <w:rPr>
          <w:rFonts w:asciiTheme="majorBidi" w:hAnsiTheme="majorBidi" w:cstheme="majorBidi"/>
          <w:sz w:val="28"/>
          <w:szCs w:val="28"/>
          <w:rtl/>
          <w:lang w:bidi="ar-IQ"/>
        </w:rPr>
        <w:t xml:space="preserve"> هذا الميعاد اعتبر قانونًا وأصدر، وإذا رد </w:t>
      </w:r>
      <w:proofErr w:type="spellStart"/>
      <w:r w:rsidRPr="00005B2B">
        <w:rPr>
          <w:rFonts w:asciiTheme="majorBidi" w:hAnsiTheme="majorBidi" w:cstheme="majorBidi"/>
          <w:sz w:val="28"/>
          <w:szCs w:val="28"/>
          <w:rtl/>
          <w:lang w:bidi="ar-IQ"/>
        </w:rPr>
        <w:t>فى</w:t>
      </w:r>
      <w:proofErr w:type="spellEnd"/>
      <w:r w:rsidRPr="00005B2B">
        <w:rPr>
          <w:rFonts w:asciiTheme="majorBidi" w:hAnsiTheme="majorBidi" w:cstheme="majorBidi"/>
          <w:sz w:val="28"/>
          <w:szCs w:val="28"/>
          <w:rtl/>
          <w:lang w:bidi="ar-IQ"/>
        </w:rPr>
        <w:t xml:space="preserve"> الميعاد المتقدم إلى المجلس، وأقره ثانية بأغلبية </w:t>
      </w:r>
      <w:proofErr w:type="spellStart"/>
      <w:r w:rsidRPr="00005B2B">
        <w:rPr>
          <w:rFonts w:asciiTheme="majorBidi" w:hAnsiTheme="majorBidi" w:cstheme="majorBidi"/>
          <w:sz w:val="28"/>
          <w:szCs w:val="28"/>
          <w:rtl/>
          <w:lang w:bidi="ar-IQ"/>
        </w:rPr>
        <w:t>ثلثى</w:t>
      </w:r>
      <w:proofErr w:type="spellEnd"/>
      <w:r w:rsidRPr="00005B2B">
        <w:rPr>
          <w:rFonts w:asciiTheme="majorBidi" w:hAnsiTheme="majorBidi" w:cstheme="majorBidi"/>
          <w:sz w:val="28"/>
          <w:szCs w:val="28"/>
          <w:rtl/>
          <w:lang w:bidi="ar-IQ"/>
        </w:rPr>
        <w:t xml:space="preserve"> أعضائه، اعتبر قانونًا وأصدر))</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المادة(61/أولًا)من دستور العراق لسنة2005،والمادة((60/أولاً مشروعات القوانين تقدم من رئيس الجمهورية ومجلس الوزراء، ثانياً مقترحات القوانين تقدم من عشرة من أعضاء مجلس النواب، أو من إحدى لجانه المختص)). ينظر أيضًا المادة(138) من الدستور أعلاه. </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من الجدير بالذكر أن المحكمة الاتحادية العليا أسقطت حق مجلس النواب  في تشريع القوانين، بدليل القرار رقم43و44 بتاريخ12/7/2010،والذي جاء فيهِ((حيث أن دستور جمهورية العراق في المادة 60 منه بين منفذين نقدم من خلالهما مشروعات القوانين وهذان المنفذان يعودان حصراً للسلطة التنفيذية وهما رئيس الجمهورية ومجلس الوزراء وإذا ما قدمت من غيرهما فإن ذلك يعد مخالفة دستورية لنص المادة 60 أولا من الدستور وإن الفقرة ثانياً من المادة(60)من الدستور أجازت لمجلس النواب تقديم مقترحات القوانين عن طريق عشرة من أعضاء مجلس النواب ومن احدى لجانه المختصة ومقترح </w:t>
      </w:r>
      <w:r w:rsidRPr="00005B2B">
        <w:rPr>
          <w:rFonts w:asciiTheme="majorBidi" w:hAnsiTheme="majorBidi" w:cstheme="majorBidi"/>
          <w:sz w:val="28"/>
          <w:szCs w:val="28"/>
          <w:rtl/>
          <w:lang w:bidi="ar-IQ"/>
        </w:rPr>
        <w:lastRenderedPageBreak/>
        <w:t>القانون لا يعني مشروع القانون لأن المقترح هو فكرة والفكرة لا تكون مشروعاً ويلزم أن يأخذ المقترح طريقه إلى احد المنفذين المشار لهما لأعداد مشروع قانون وفق ما رسمته القوانين والتشريعات النافذة إذا ما وافق ذلك سياسة السلطة التنفيذية التي أقرها مجلس النواب)) وهكذا عبر هذا القرار ( بمقترح القوانين ) الذي هو من حق عشرة أعضاء من أية لجنة في مجلس النواب بأنه (فكرة والفكرة لا تكون مشروعاً ).د. محمد باقر القزويني، مصدر سابق، ص13.</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شميم مزهر راضي الربيعي، مصدر سابق، ص147. ينظر أيضًا- د. رافع خضر صالح شبر، السلطة التشريعية في النظام الفيدرالي، مكتبة زين الحقوقية والأدبية، 2017، ص133.</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المادة (225) من دستور مصر لسنة 2014(المعدل).</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المادة (130) من دستور العراق لسنة 2005 النافذ.</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المادة(49/ الفقرة أ) من قانون إدارة الدولة للمرحلة الانتقالية لسنة 2004. </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نصت المادة (10) من اللائحة التنظيمية رقم (8) الملغاة" أ- يجوز للسكان الذين يعاودون للإقامة مجددًا في عقارات سكنية في مناطق خضعت لسياسة التطهير العرقي:ـ</w:t>
      </w:r>
    </w:p>
    <w:p w:rsidR="00005B2B" w:rsidRPr="00005B2B" w:rsidRDefault="00005B2B" w:rsidP="00D5287F">
      <w:pPr>
        <w:pStyle w:val="a7"/>
        <w:tabs>
          <w:tab w:val="left" w:pos="450"/>
        </w:tabs>
        <w:spacing w:after="0" w:line="240" w:lineRule="auto"/>
        <w:ind w:left="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أن يعاد توطينهم في تلك المناطق.</w:t>
      </w:r>
    </w:p>
    <w:p w:rsidR="00005B2B" w:rsidRPr="00005B2B" w:rsidRDefault="00005B2B" w:rsidP="00D5287F">
      <w:pPr>
        <w:pStyle w:val="a7"/>
        <w:tabs>
          <w:tab w:val="left" w:pos="450"/>
        </w:tabs>
        <w:spacing w:after="0" w:line="240" w:lineRule="auto"/>
        <w:ind w:left="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أن يحصلوا على تعويض من الدولة.</w:t>
      </w:r>
    </w:p>
    <w:p w:rsidR="00005B2B" w:rsidRPr="00005B2B" w:rsidRDefault="00005B2B" w:rsidP="00D5287F">
      <w:pPr>
        <w:pStyle w:val="a7"/>
        <w:tabs>
          <w:tab w:val="left" w:pos="450"/>
        </w:tabs>
        <w:spacing w:after="0" w:line="240" w:lineRule="auto"/>
        <w:ind w:left="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أن يحصلوا على ارض جديدة من الدولة بالقرب من المحافظة التي اتو منها.</w:t>
      </w:r>
    </w:p>
    <w:p w:rsidR="00005B2B" w:rsidRPr="00005B2B" w:rsidRDefault="00005B2B" w:rsidP="00D5287F">
      <w:pPr>
        <w:pStyle w:val="a7"/>
        <w:tabs>
          <w:tab w:val="left" w:pos="450"/>
        </w:tabs>
        <w:spacing w:after="0" w:line="240" w:lineRule="auto"/>
        <w:ind w:left="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أن يحصلوا على تكاليف الانتقال إلى تلك المنطقة</w:t>
      </w:r>
    </w:p>
    <w:p w:rsidR="00005B2B" w:rsidRPr="00005B2B" w:rsidRDefault="00005B2B" w:rsidP="00D5287F">
      <w:pPr>
        <w:pStyle w:val="a7"/>
        <w:tabs>
          <w:tab w:val="left" w:pos="450"/>
        </w:tabs>
        <w:spacing w:after="0" w:line="240" w:lineRule="auto"/>
        <w:ind w:left="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ب- تكون وزارة النازحين والمهجرين مسؤولة عن إدارة هذه السياسة وتطبيقها".</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المادة(58) من قانون أدارة الدولة للمرحلة الانتقالية لسنة 2004.</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المادة(136/ثانيًا) من دستور العراق لسنة 2005 النافذ.</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جمال ناصر جبار </w:t>
      </w:r>
      <w:proofErr w:type="spellStart"/>
      <w:r w:rsidRPr="00005B2B">
        <w:rPr>
          <w:rFonts w:asciiTheme="majorBidi" w:hAnsiTheme="majorBidi" w:cstheme="majorBidi"/>
          <w:sz w:val="28"/>
          <w:szCs w:val="28"/>
          <w:rtl/>
          <w:lang w:bidi="ar-IQ"/>
        </w:rPr>
        <w:t>الزيداوي</w:t>
      </w:r>
      <w:proofErr w:type="spellEnd"/>
      <w:r w:rsidRPr="00005B2B">
        <w:rPr>
          <w:rFonts w:asciiTheme="majorBidi" w:hAnsiTheme="majorBidi" w:cstheme="majorBidi"/>
          <w:sz w:val="28"/>
          <w:szCs w:val="28"/>
          <w:rtl/>
          <w:lang w:bidi="ar-IQ"/>
        </w:rPr>
        <w:t>، مصدر سابق، ص122.</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د. عبد المجيد إبراهيم سليم، السلطة التقديرية للمشرع، دار الجامعة الجديدة، الإسكندرية، 2010، ص98.</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د. أبراهيم محمد صالح </w:t>
      </w:r>
      <w:proofErr w:type="spellStart"/>
      <w:r w:rsidRPr="00005B2B">
        <w:rPr>
          <w:rFonts w:asciiTheme="majorBidi" w:hAnsiTheme="majorBidi" w:cstheme="majorBidi"/>
          <w:sz w:val="28"/>
          <w:szCs w:val="28"/>
          <w:rtl/>
          <w:lang w:bidi="ar-IQ"/>
        </w:rPr>
        <w:t>الشرفاني</w:t>
      </w:r>
      <w:proofErr w:type="spellEnd"/>
      <w:r w:rsidRPr="00005B2B">
        <w:rPr>
          <w:rFonts w:asciiTheme="majorBidi" w:hAnsiTheme="majorBidi" w:cstheme="majorBidi"/>
          <w:sz w:val="28"/>
          <w:szCs w:val="28"/>
          <w:rtl/>
          <w:lang w:bidi="ar-IQ"/>
        </w:rPr>
        <w:t>، رقابة المحكمة الدستورية على السلطة التقديرية للمشرع، منشورات الحلبي الحقوقية، 2016، ص94.</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w:t>
      </w:r>
      <w:proofErr w:type="spellStart"/>
      <w:r w:rsidRPr="00005B2B">
        <w:rPr>
          <w:rFonts w:asciiTheme="majorBidi" w:hAnsiTheme="majorBidi" w:cstheme="majorBidi"/>
          <w:sz w:val="28"/>
          <w:szCs w:val="28"/>
          <w:rtl/>
          <w:lang w:bidi="ar-IQ"/>
        </w:rPr>
        <w:t>د.عبد</w:t>
      </w:r>
      <w:proofErr w:type="spellEnd"/>
      <w:r w:rsidRPr="00005B2B">
        <w:rPr>
          <w:rFonts w:asciiTheme="majorBidi" w:hAnsiTheme="majorBidi" w:cstheme="majorBidi"/>
          <w:sz w:val="28"/>
          <w:szCs w:val="28"/>
          <w:rtl/>
          <w:lang w:bidi="ar-IQ"/>
        </w:rPr>
        <w:t xml:space="preserve"> المجيد إبراهيم سليم، مصدر سابق، ص519.</w:t>
      </w:r>
    </w:p>
    <w:p w:rsidR="00005B2B" w:rsidRPr="00005B2B" w:rsidRDefault="00005B2B" w:rsidP="00D5287F">
      <w:pPr>
        <w:pStyle w:val="a7"/>
        <w:numPr>
          <w:ilvl w:val="0"/>
          <w:numId w:val="25"/>
        </w:numPr>
        <w:tabs>
          <w:tab w:val="left" w:pos="450"/>
        </w:tabs>
        <w:spacing w:after="0" w:line="240" w:lineRule="auto"/>
        <w:ind w:left="0" w:firstLine="0"/>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ويذهب الأستاذ( مصطفى أبو زيد فهمي) إلى التفريق بين التنظيم والتقييد وأن وجه الفرق بينهما يكمن في أن التنظيم (يعني وضع القيود التي تختلف شدة وضيقا من أجل التمتع بالحرية ومن ثم لابد وان تستهدف هذه القيود تمكين الجميع من التمتع بالحرية حتى يسوغ اعتبار التدخل تنظيمًا، بينما التقييد ينعني تنظيم المشرع للحرية جعل التمتع بها أمرًا شاقًا أو مرهقًا على الناس). ينظر- د. مصطفى أبو زيد فهمي، الدستور المصري ورقابة دستورية القوانين، منشأة المعارف، الإسكندرية، 1985، ص505.</w:t>
      </w:r>
    </w:p>
    <w:p w:rsidR="00005B2B" w:rsidRPr="00005B2B" w:rsidRDefault="00005B2B" w:rsidP="00D5287F">
      <w:pPr>
        <w:pStyle w:val="a7"/>
        <w:numPr>
          <w:ilvl w:val="0"/>
          <w:numId w:val="25"/>
        </w:numPr>
        <w:tabs>
          <w:tab w:val="left" w:pos="450"/>
        </w:tabs>
        <w:spacing w:after="0" w:line="240" w:lineRule="auto"/>
        <w:ind w:left="0" w:firstLine="0"/>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د. محمد عبد الله محمد الركن، التنظيم الدستوري للحقوق والحريات العامة، بحث منشور في مجلة الشريعة والقانون، جامعة الأمارات، كلية القانون، العدد(8)، 1994، ص406.</w:t>
      </w:r>
    </w:p>
    <w:p w:rsidR="00005B2B" w:rsidRPr="00005B2B" w:rsidRDefault="00005B2B" w:rsidP="00D5287F">
      <w:pPr>
        <w:pStyle w:val="a7"/>
        <w:numPr>
          <w:ilvl w:val="0"/>
          <w:numId w:val="25"/>
        </w:numPr>
        <w:tabs>
          <w:tab w:val="left" w:pos="450"/>
        </w:tabs>
        <w:spacing w:after="0" w:line="240" w:lineRule="auto"/>
        <w:ind w:left="0" w:firstLine="0"/>
        <w:rPr>
          <w:rFonts w:asciiTheme="majorBidi" w:hAnsiTheme="majorBidi" w:cstheme="majorBidi"/>
          <w:sz w:val="28"/>
          <w:szCs w:val="28"/>
          <w:rtl/>
          <w:lang w:bidi="ar-IQ"/>
        </w:rPr>
      </w:pPr>
      <w:r w:rsidRPr="00005B2B">
        <w:rPr>
          <w:rFonts w:asciiTheme="majorBidi" w:hAnsiTheme="majorBidi" w:cstheme="majorBidi"/>
          <w:sz w:val="28"/>
          <w:szCs w:val="28"/>
          <w:rtl/>
          <w:lang w:bidi="ar-IQ"/>
        </w:rPr>
        <w:lastRenderedPageBreak/>
        <w:t xml:space="preserve"> تتميز النصوص التقريرية عن غيرها من النصوص من التوجيهية، فالنص التوجيهي يقصد به مجموعة قواعد دستورية تتسم بصفتها الإرشادية أو التوجيهية، وتعبر عن توجهات المجتمع السياسية وفلسفته الاقتصادية، فتمثل تبعًا لذلك أهدافًا عامة تلزم الدولة بالعمل على تحقيقها، وتجد تلك المبادئ مصدرها في مقدمات الدساتير وإعلانات الحقوق، وعلى الرغم من الخلاف الفقهي حول القيمة الدستورية لهذه النصوص، إلا أن الثابت أن السلطات تلتزم بها حين مباشرة اختصاصها، وتعمل على تحقيقها، فلا يمكن إصدار ما يخالفها، ومثال ذلك مقدمة دستور فرنسا لسنة1958(المعدل) الذي تضمن إعلان 1789 ومقدمة دستور 1946، أيضًا المبادي الواردة في دستور مصر لسنة 2014(لكل مواطن الحق بالعيش غلى أرض الوطن في أمن وأمان، ولكن مواطن حقًا في يومه وفي غده)، أما النصوص التقريرية فيقصد بها النصوص الواردة في صلب الوثيقة بالدستورية والتي تقرر الإحالة إلى قانون لتنظيم مسألة ما. د. عبد المجيد أبراهيم سليم، مصدر سابق ، ص 449.</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د. مصطفى أبو زيد فهمي، مصدر سابق، ص224. كذلك يكون الأمر للإدارة، لان الانحراف في استعمال السلطة الإدارية لا يمكن تصوره ألا بوجود سلطة تقديرية للإدارة، أما في حال سلطتها المقيدة فلا يتصور الانحراف في استعمال السلطة الإدارية، أنما نكون بصدد مجاوزة الإدارة حدودها فنكون أمام مخالفة للقانون. للتفصيل حول هذا الرأي ينظر- د. راغب جبريل خميس، الصراع بين حرية الفرد وسلطة الدولة، المكتب الجامعي الحديث، الإسكندرية، ط2، 2011، ص 389.</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proofErr w:type="spellStart"/>
      <w:r w:rsidRPr="00005B2B">
        <w:rPr>
          <w:rFonts w:asciiTheme="majorBidi" w:hAnsiTheme="majorBidi" w:cstheme="majorBidi"/>
          <w:sz w:val="28"/>
          <w:szCs w:val="28"/>
          <w:lang w:bidi="ar-IQ"/>
        </w:rPr>
        <w:t>Conseil</w:t>
      </w:r>
      <w:proofErr w:type="spellEnd"/>
      <w:r w:rsidRPr="00005B2B">
        <w:rPr>
          <w:rFonts w:asciiTheme="majorBidi" w:hAnsiTheme="majorBidi" w:cstheme="majorBidi"/>
          <w:sz w:val="28"/>
          <w:szCs w:val="28"/>
          <w:lang w:bidi="ar-IQ"/>
        </w:rPr>
        <w:t xml:space="preserve"> </w:t>
      </w:r>
      <w:proofErr w:type="spellStart"/>
      <w:r w:rsidRPr="00005B2B">
        <w:rPr>
          <w:rFonts w:asciiTheme="majorBidi" w:hAnsiTheme="majorBidi" w:cstheme="majorBidi"/>
          <w:sz w:val="28"/>
          <w:szCs w:val="28"/>
          <w:lang w:bidi="ar-IQ"/>
        </w:rPr>
        <w:t>Constitutionnel</w:t>
      </w:r>
      <w:proofErr w:type="spellEnd"/>
      <w:r w:rsidRPr="00005B2B">
        <w:rPr>
          <w:rFonts w:asciiTheme="majorBidi" w:hAnsiTheme="majorBidi" w:cstheme="majorBidi"/>
          <w:sz w:val="28"/>
          <w:szCs w:val="28"/>
          <w:lang w:bidi="ar-IQ"/>
        </w:rPr>
        <w:t xml:space="preserve">  no 90-283  du 8 </w:t>
      </w:r>
      <w:proofErr w:type="spellStart"/>
      <w:r w:rsidRPr="00005B2B">
        <w:rPr>
          <w:rFonts w:asciiTheme="majorBidi" w:hAnsiTheme="majorBidi" w:cstheme="majorBidi"/>
          <w:sz w:val="28"/>
          <w:szCs w:val="28"/>
          <w:lang w:bidi="ar-IQ"/>
        </w:rPr>
        <w:t>Janvier</w:t>
      </w:r>
      <w:proofErr w:type="spellEnd"/>
      <w:r w:rsidRPr="00005B2B">
        <w:rPr>
          <w:rFonts w:asciiTheme="majorBidi" w:hAnsiTheme="majorBidi" w:cstheme="majorBidi"/>
          <w:sz w:val="28"/>
          <w:szCs w:val="28"/>
          <w:lang w:bidi="ar-IQ"/>
        </w:rPr>
        <w:t xml:space="preserve"> 1991.decision  </w:t>
      </w:r>
      <w:proofErr w:type="spellStart"/>
      <w:r w:rsidRPr="00005B2B">
        <w:rPr>
          <w:rFonts w:asciiTheme="majorBidi" w:hAnsiTheme="majorBidi" w:cstheme="majorBidi"/>
          <w:sz w:val="28"/>
          <w:szCs w:val="28"/>
          <w:lang w:bidi="ar-IQ"/>
        </w:rPr>
        <w:t>precitee</w:t>
      </w:r>
      <w:proofErr w:type="spellEnd"/>
      <w:r w:rsidRPr="00005B2B">
        <w:rPr>
          <w:rFonts w:asciiTheme="majorBidi" w:hAnsiTheme="majorBidi" w:cstheme="majorBidi"/>
          <w:sz w:val="28"/>
          <w:szCs w:val="28"/>
          <w:rtl/>
          <w:lang w:bidi="ar-IQ"/>
        </w:rPr>
        <w:t>.. أشار للقرار _د. عبد المجيد إبراهيم سليم، مصدر سابق، ص524.</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حكم المحكمة الدستورية العليا في الدعوى رقم 156 لسنة 18 ق دستورية بجلسة 15 نوفمبر 1997، الحكم منشور على الموقع الإلكتروني للمحكمة الدستورية العليا، تاريخ الزيارة 7/6/2022، الساعة 10:00م.</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حكم المحكمة الدستورية العليا في الدعوى رقم 37 لسنة 9 ق دستورية جلسة 19 مايو 1990، الحكم منشور على الموقع الإلكتروني للمحكمة الدستورية العليا، تاريخ الزيارة 7/6/2022، الساعة 10:00م.</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قرار المحكمة الاتحادية العليا العدد114/اتحادية/2013، بتاريخ4/12/2013. منشور على الموقع الإلكتروني للمحكمة. تاريخ الزيارة 7/6/2022، الساعة11:30م.</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قرار المحكمة الاتحادية العليا العدد114/اتحادية/2013، بتاريخ4/12/2013. منشور على الموقع الإلكتروني للمحكمة. تاريخ الزيارة 7/6/2022، الساعة11:30م.</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القاضي سالم روضان الموسوي، السلطة التقديرية للمشرع العراقي، منشور على الموقع الإلكتروني </w:t>
      </w:r>
      <w:r w:rsidRPr="00005B2B">
        <w:rPr>
          <w:rFonts w:asciiTheme="majorBidi" w:hAnsiTheme="majorBidi" w:cstheme="majorBidi"/>
          <w:sz w:val="28"/>
          <w:szCs w:val="28"/>
          <w:lang w:bidi="ar-IQ"/>
        </w:rPr>
        <w:t>https://www.hjc.iq/view.2844</w:t>
      </w:r>
      <w:r w:rsidRPr="00005B2B">
        <w:rPr>
          <w:rFonts w:asciiTheme="majorBidi" w:hAnsiTheme="majorBidi" w:cstheme="majorBidi"/>
          <w:sz w:val="28"/>
          <w:szCs w:val="28"/>
          <w:rtl/>
          <w:lang w:bidi="ar-IQ"/>
        </w:rPr>
        <w:t xml:space="preserve"> ، تاريخ الزيارة تاريخ الزيارة 7/6/2022، الساعة11:40 م.</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د. أبراهيم محمد صالح </w:t>
      </w:r>
      <w:proofErr w:type="spellStart"/>
      <w:r w:rsidRPr="00005B2B">
        <w:rPr>
          <w:rFonts w:asciiTheme="majorBidi" w:hAnsiTheme="majorBidi" w:cstheme="majorBidi"/>
          <w:sz w:val="28"/>
          <w:szCs w:val="28"/>
          <w:rtl/>
          <w:lang w:bidi="ar-IQ"/>
        </w:rPr>
        <w:t>الشرفاني</w:t>
      </w:r>
      <w:proofErr w:type="spellEnd"/>
      <w:r w:rsidRPr="00005B2B">
        <w:rPr>
          <w:rFonts w:asciiTheme="majorBidi" w:hAnsiTheme="majorBidi" w:cstheme="majorBidi"/>
          <w:sz w:val="28"/>
          <w:szCs w:val="28"/>
          <w:rtl/>
          <w:lang w:bidi="ar-IQ"/>
        </w:rPr>
        <w:t>، مصدر سابق، ص162-163.</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د. عبد المجيد أبراهيم سليم، مصدر سابق ، ص102.</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lastRenderedPageBreak/>
        <w:t>بن شهيرة العربي، الرقابة القضائية على السلطة التقديرية للمشرع، بحث منشور في مجلة المعيار، المركز الجامعي، الجزائر، المجلد التاسع، العدد الثاني، 2018، ص51.</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rtl/>
          <w:lang w:bidi="ar-IQ"/>
        </w:rPr>
      </w:pPr>
      <w:r w:rsidRPr="00005B2B">
        <w:rPr>
          <w:rFonts w:asciiTheme="majorBidi" w:hAnsiTheme="majorBidi" w:cstheme="majorBidi"/>
          <w:sz w:val="28"/>
          <w:szCs w:val="28"/>
          <w:rtl/>
          <w:lang w:bidi="ar-IQ"/>
        </w:rPr>
        <w:t xml:space="preserve"> د. عبد المجيد أبراهيم سليم، مصدر سابق، ص103</w:t>
      </w:r>
    </w:p>
    <w:p w:rsidR="00005B2B" w:rsidRPr="00005B2B" w:rsidRDefault="00005B2B" w:rsidP="00D5287F">
      <w:pPr>
        <w:pStyle w:val="a7"/>
        <w:numPr>
          <w:ilvl w:val="0"/>
          <w:numId w:val="25"/>
        </w:numPr>
        <w:tabs>
          <w:tab w:val="left" w:pos="450"/>
        </w:tabs>
        <w:spacing w:after="0" w:line="240" w:lineRule="auto"/>
        <w:ind w:left="0" w:firstLine="0"/>
        <w:jc w:val="both"/>
        <w:rPr>
          <w:rFonts w:asciiTheme="majorBidi" w:hAnsiTheme="majorBidi" w:cstheme="majorBidi"/>
          <w:sz w:val="28"/>
          <w:szCs w:val="28"/>
          <w:lang w:bidi="ar-IQ"/>
        </w:rPr>
      </w:pPr>
      <w:r w:rsidRPr="00005B2B">
        <w:rPr>
          <w:rFonts w:asciiTheme="majorBidi" w:hAnsiTheme="majorBidi" w:cstheme="majorBidi"/>
          <w:sz w:val="28"/>
          <w:szCs w:val="28"/>
          <w:rtl/>
          <w:lang w:bidi="ar-IQ"/>
        </w:rPr>
        <w:t xml:space="preserve"> حكم المحكمة الدستورية العليا رقم 5لسنة8 بتاريخ6 يناير1996، منشور على الموقع الإلكتروني للمحكمة</w:t>
      </w:r>
    </w:p>
    <w:p w:rsidR="00330F61" w:rsidRPr="00072904" w:rsidRDefault="00330F61" w:rsidP="00072904">
      <w:pPr>
        <w:bidi w:val="0"/>
        <w:spacing w:after="0" w:line="240" w:lineRule="auto"/>
        <w:jc w:val="center"/>
        <w:rPr>
          <w:rFonts w:asciiTheme="majorBidi" w:hAnsiTheme="majorBidi" w:cstheme="majorBidi"/>
          <w:b/>
          <w:bCs/>
          <w:sz w:val="28"/>
          <w:szCs w:val="28"/>
          <w:lang w:bidi="ar-IQ"/>
        </w:rPr>
      </w:pPr>
      <w:r w:rsidRPr="00072904">
        <w:rPr>
          <w:rFonts w:asciiTheme="majorBidi" w:hAnsiTheme="majorBidi" w:cstheme="majorBidi"/>
          <w:b/>
          <w:bCs/>
          <w:sz w:val="28"/>
          <w:szCs w:val="28"/>
          <w:lang w:bidi="ar-IQ"/>
        </w:rPr>
        <w:t>The impact of constitutional texts on the legal regulation of the right to private property</w:t>
      </w:r>
      <w:r w:rsidR="00072904">
        <w:rPr>
          <w:rFonts w:asciiTheme="majorBidi" w:hAnsiTheme="majorBidi" w:cstheme="majorBidi"/>
          <w:b/>
          <w:bCs/>
          <w:sz w:val="28"/>
          <w:szCs w:val="28"/>
          <w:lang w:bidi="ar-IQ"/>
        </w:rPr>
        <w:t xml:space="preserve"> </w:t>
      </w:r>
      <w:r w:rsidR="00072904" w:rsidRPr="00072904">
        <w:rPr>
          <w:rFonts w:asciiTheme="majorBidi" w:hAnsiTheme="majorBidi" w:cs="Times New Roman"/>
          <w:b/>
          <w:bCs/>
          <w:sz w:val="28"/>
          <w:szCs w:val="28"/>
          <w:lang w:bidi="ar-IQ"/>
        </w:rPr>
        <w:t>(</w:t>
      </w:r>
      <w:r w:rsidRPr="00072904">
        <w:rPr>
          <w:rFonts w:asciiTheme="majorBidi" w:hAnsiTheme="majorBidi" w:cstheme="majorBidi"/>
          <w:b/>
          <w:bCs/>
          <w:sz w:val="28"/>
          <w:szCs w:val="28"/>
          <w:lang w:bidi="ar-IQ"/>
        </w:rPr>
        <w:t>A comparative study</w:t>
      </w:r>
      <w:r w:rsidR="00072904" w:rsidRPr="00072904">
        <w:rPr>
          <w:rFonts w:asciiTheme="majorBidi" w:hAnsiTheme="majorBidi" w:cs="Times New Roman"/>
          <w:b/>
          <w:bCs/>
          <w:sz w:val="28"/>
          <w:szCs w:val="28"/>
          <w:lang w:bidi="ar-IQ"/>
        </w:rPr>
        <w:t>)</w:t>
      </w:r>
    </w:p>
    <w:p w:rsidR="00330F61" w:rsidRPr="00072904" w:rsidRDefault="00330F61" w:rsidP="00072904">
      <w:pPr>
        <w:bidi w:val="0"/>
        <w:spacing w:after="0" w:line="240" w:lineRule="auto"/>
        <w:jc w:val="center"/>
        <w:rPr>
          <w:rFonts w:asciiTheme="majorBidi" w:hAnsiTheme="majorBidi" w:cstheme="majorBidi"/>
          <w:b/>
          <w:bCs/>
          <w:sz w:val="28"/>
          <w:szCs w:val="28"/>
          <w:lang w:bidi="ar-IQ"/>
        </w:rPr>
      </w:pPr>
      <w:r w:rsidRPr="00072904">
        <w:rPr>
          <w:rFonts w:asciiTheme="majorBidi" w:hAnsiTheme="majorBidi" w:cstheme="majorBidi"/>
          <w:b/>
          <w:bCs/>
          <w:sz w:val="28"/>
          <w:szCs w:val="28"/>
          <w:lang w:bidi="ar-IQ"/>
        </w:rPr>
        <w:t xml:space="preserve">Mohammed </w:t>
      </w:r>
      <w:proofErr w:type="spellStart"/>
      <w:r w:rsidRPr="00072904">
        <w:rPr>
          <w:rFonts w:asciiTheme="majorBidi" w:hAnsiTheme="majorBidi" w:cstheme="majorBidi"/>
          <w:b/>
          <w:bCs/>
          <w:sz w:val="28"/>
          <w:szCs w:val="28"/>
          <w:lang w:bidi="ar-IQ"/>
        </w:rPr>
        <w:t>Nejm</w:t>
      </w:r>
      <w:proofErr w:type="spellEnd"/>
      <w:r w:rsidRPr="00072904">
        <w:rPr>
          <w:rFonts w:asciiTheme="majorBidi" w:hAnsiTheme="majorBidi" w:cstheme="majorBidi"/>
          <w:b/>
          <w:bCs/>
          <w:sz w:val="28"/>
          <w:szCs w:val="28"/>
          <w:lang w:bidi="ar-IQ"/>
        </w:rPr>
        <w:t xml:space="preserve"> </w:t>
      </w:r>
      <w:proofErr w:type="spellStart"/>
      <w:r w:rsidRPr="00072904">
        <w:rPr>
          <w:rFonts w:asciiTheme="majorBidi" w:hAnsiTheme="majorBidi" w:cstheme="majorBidi"/>
          <w:b/>
          <w:bCs/>
          <w:sz w:val="28"/>
          <w:szCs w:val="28"/>
          <w:lang w:bidi="ar-IQ"/>
        </w:rPr>
        <w:t>chilab</w:t>
      </w:r>
      <w:proofErr w:type="spellEnd"/>
      <w:r w:rsidRPr="00072904">
        <w:rPr>
          <w:rFonts w:asciiTheme="majorBidi" w:hAnsiTheme="majorBidi" w:cstheme="majorBidi"/>
          <w:b/>
          <w:bCs/>
          <w:sz w:val="28"/>
          <w:szCs w:val="28"/>
          <w:lang w:bidi="ar-IQ"/>
        </w:rPr>
        <w:t xml:space="preserve">  </w:t>
      </w:r>
      <w:r w:rsidR="00072904">
        <w:rPr>
          <w:rFonts w:asciiTheme="majorBidi" w:hAnsiTheme="majorBidi" w:cstheme="majorBidi"/>
          <w:b/>
          <w:bCs/>
          <w:sz w:val="28"/>
          <w:szCs w:val="28"/>
          <w:lang w:bidi="ar-IQ"/>
        </w:rPr>
        <w:t xml:space="preserve">                   </w:t>
      </w:r>
      <w:proofErr w:type="spellStart"/>
      <w:r w:rsidRPr="00072904">
        <w:rPr>
          <w:rFonts w:asciiTheme="majorBidi" w:hAnsiTheme="majorBidi" w:cstheme="majorBidi"/>
          <w:b/>
          <w:bCs/>
          <w:sz w:val="28"/>
          <w:szCs w:val="28"/>
          <w:lang w:bidi="ar-IQ"/>
        </w:rPr>
        <w:t>Haneen</w:t>
      </w:r>
      <w:proofErr w:type="spellEnd"/>
      <w:r w:rsidRPr="00072904">
        <w:rPr>
          <w:rFonts w:asciiTheme="majorBidi" w:hAnsiTheme="majorBidi" w:cstheme="majorBidi"/>
          <w:b/>
          <w:bCs/>
          <w:sz w:val="28"/>
          <w:szCs w:val="28"/>
          <w:lang w:bidi="ar-IQ"/>
        </w:rPr>
        <w:t xml:space="preserve"> Hassan </w:t>
      </w:r>
      <w:proofErr w:type="spellStart"/>
      <w:r w:rsidRPr="00072904">
        <w:rPr>
          <w:rFonts w:asciiTheme="majorBidi" w:hAnsiTheme="majorBidi" w:cstheme="majorBidi"/>
          <w:b/>
          <w:bCs/>
          <w:sz w:val="28"/>
          <w:szCs w:val="28"/>
          <w:lang w:bidi="ar-IQ"/>
        </w:rPr>
        <w:t>Laith</w:t>
      </w:r>
      <w:proofErr w:type="spellEnd"/>
    </w:p>
    <w:p w:rsidR="00330F61" w:rsidRPr="00072904" w:rsidRDefault="00330F61" w:rsidP="00072904">
      <w:pPr>
        <w:bidi w:val="0"/>
        <w:spacing w:after="0" w:line="240" w:lineRule="auto"/>
        <w:jc w:val="center"/>
        <w:rPr>
          <w:rFonts w:asciiTheme="majorBidi" w:hAnsiTheme="majorBidi" w:cstheme="majorBidi"/>
          <w:b/>
          <w:bCs/>
          <w:color w:val="0070C0"/>
          <w:sz w:val="28"/>
          <w:szCs w:val="28"/>
          <w:lang w:bidi="ar-IQ"/>
        </w:rPr>
      </w:pPr>
      <w:r w:rsidRPr="00072904">
        <w:rPr>
          <w:rFonts w:asciiTheme="majorBidi" w:hAnsiTheme="majorBidi" w:cstheme="majorBidi"/>
          <w:b/>
          <w:bCs/>
          <w:color w:val="0070C0"/>
          <w:sz w:val="28"/>
          <w:szCs w:val="28"/>
          <w:lang w:bidi="ar-IQ"/>
        </w:rPr>
        <w:t xml:space="preserve">Lawp1e212@utq.edq.iq                   </w:t>
      </w:r>
      <w:r w:rsidRPr="00072904">
        <w:rPr>
          <w:rFonts w:asciiTheme="majorBidi" w:hAnsiTheme="majorBidi" w:cs="Times New Roman"/>
          <w:b/>
          <w:bCs/>
          <w:color w:val="0070C0"/>
          <w:sz w:val="28"/>
          <w:szCs w:val="28"/>
          <w:rtl/>
          <w:lang w:bidi="ar-IQ"/>
        </w:rPr>
        <w:tab/>
      </w:r>
      <w:r w:rsidRPr="00072904">
        <w:rPr>
          <w:rFonts w:asciiTheme="majorBidi" w:hAnsiTheme="majorBidi" w:cstheme="majorBidi"/>
          <w:b/>
          <w:bCs/>
          <w:color w:val="0070C0"/>
          <w:sz w:val="28"/>
          <w:szCs w:val="28"/>
          <w:lang w:bidi="ar-IQ"/>
        </w:rPr>
        <w:t>Law5mas15@utq.edu.iq</w:t>
      </w:r>
    </w:p>
    <w:p w:rsidR="00330F61" w:rsidRPr="00330F61" w:rsidRDefault="00330F61" w:rsidP="00072904">
      <w:pPr>
        <w:bidi w:val="0"/>
        <w:spacing w:after="0" w:line="240" w:lineRule="auto"/>
        <w:jc w:val="center"/>
        <w:rPr>
          <w:rFonts w:asciiTheme="majorBidi" w:hAnsiTheme="majorBidi" w:cstheme="majorBidi"/>
          <w:sz w:val="28"/>
          <w:szCs w:val="28"/>
          <w:rtl/>
          <w:lang w:bidi="ar-IQ"/>
        </w:rPr>
      </w:pPr>
    </w:p>
    <w:p w:rsidR="00330F61" w:rsidRPr="00072904" w:rsidRDefault="00072904" w:rsidP="00072904">
      <w:pPr>
        <w:bidi w:val="0"/>
        <w:spacing w:after="0" w:line="240" w:lineRule="auto"/>
        <w:jc w:val="both"/>
        <w:rPr>
          <w:rFonts w:asciiTheme="majorBidi" w:hAnsiTheme="majorBidi" w:cstheme="majorBidi"/>
          <w:b/>
          <w:bCs/>
          <w:sz w:val="28"/>
          <w:szCs w:val="28"/>
          <w:lang w:bidi="ar-IQ"/>
        </w:rPr>
      </w:pPr>
      <w:r w:rsidRPr="00072904">
        <w:rPr>
          <w:rFonts w:asciiTheme="majorBidi" w:hAnsiTheme="majorBidi" w:cstheme="majorBidi"/>
          <w:b/>
          <w:bCs/>
          <w:sz w:val="28"/>
          <w:szCs w:val="28"/>
          <w:lang w:bidi="ar-IQ"/>
        </w:rPr>
        <w:t>Abstract:</w:t>
      </w:r>
    </w:p>
    <w:p w:rsidR="00330F61" w:rsidRPr="00330F61" w:rsidRDefault="00072904" w:rsidP="00072904">
      <w:pPr>
        <w:bidi w:val="0"/>
        <w:spacing w:after="0" w:line="24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00330F61" w:rsidRPr="00330F61">
        <w:rPr>
          <w:rFonts w:asciiTheme="majorBidi" w:hAnsiTheme="majorBidi" w:cstheme="majorBidi"/>
          <w:sz w:val="28"/>
          <w:szCs w:val="28"/>
          <w:lang w:bidi="ar-IQ"/>
        </w:rPr>
        <w:t>Constitutional texts represent the general and supreme rules and principles and have a priority among the rules of public order that must be adhered to and observed as the highest rules of command and the waste of legislation that contradicts them ,  It has become clear that one of the purposes of the constitution, besides regulating what is related to the system of government and public powers, is the protection of human rights and fundamental freedoms.  for this reason, its regulation attaches to the foundational competence more than the legislative, as the constitutional texts of the right to private property provide a distinct position and adequate protection, due to the superiority of these texts among other legal rules, which requires compliance with the legal rules and legislation as approved by the constitutional texts and not to prejudice the property of  Private individuals or attempts to violate them by public authorities, and because of the support and guarantee these texts provide for ownership, as well as the obligations they recognize on the ordinary legislator that require the approval of legislation in a way that does not prejudice the property of individuals, because the legislative authority has the competence to enact laws and place restrictions on the right  And that this is only for the motives of the public interest, which requires limiting its activity to the field that is  consistent with the function of the monarchy  own</w:t>
      </w:r>
      <w:r w:rsidR="00330F61" w:rsidRPr="00330F61">
        <w:rPr>
          <w:rFonts w:asciiTheme="majorBidi" w:hAnsiTheme="majorBidi" w:cs="Times New Roman"/>
          <w:sz w:val="28"/>
          <w:szCs w:val="28"/>
          <w:rtl/>
          <w:lang w:bidi="ar-IQ"/>
        </w:rPr>
        <w:t xml:space="preserve"> .</w:t>
      </w:r>
    </w:p>
    <w:p w:rsidR="00A80E7E" w:rsidRPr="00330F61" w:rsidRDefault="00330F61" w:rsidP="00DC64A7">
      <w:pPr>
        <w:spacing w:after="0" w:line="240" w:lineRule="auto"/>
        <w:jc w:val="right"/>
        <w:rPr>
          <w:rFonts w:asciiTheme="majorBidi" w:hAnsiTheme="majorBidi" w:cstheme="majorBidi"/>
          <w:sz w:val="28"/>
          <w:szCs w:val="28"/>
          <w:rtl/>
          <w:lang w:bidi="ar-IQ"/>
        </w:rPr>
      </w:pPr>
      <w:r w:rsidRPr="00072904">
        <w:rPr>
          <w:rFonts w:asciiTheme="majorBidi" w:hAnsiTheme="majorBidi" w:cstheme="majorBidi"/>
          <w:b/>
          <w:bCs/>
          <w:sz w:val="28"/>
          <w:szCs w:val="28"/>
          <w:lang w:bidi="ar-IQ"/>
        </w:rPr>
        <w:t>key words</w:t>
      </w:r>
      <w:r w:rsidR="00072904">
        <w:rPr>
          <w:rFonts w:asciiTheme="majorBidi" w:hAnsiTheme="majorBidi" w:cstheme="majorBidi"/>
          <w:sz w:val="28"/>
          <w:szCs w:val="28"/>
          <w:lang w:bidi="ar-IQ"/>
        </w:rPr>
        <w:t>:</w:t>
      </w:r>
      <w:r w:rsidRPr="00330F61">
        <w:rPr>
          <w:rFonts w:asciiTheme="majorBidi" w:hAnsiTheme="majorBidi" w:cstheme="majorBidi"/>
          <w:sz w:val="28"/>
          <w:szCs w:val="28"/>
          <w:lang w:bidi="ar-IQ"/>
        </w:rPr>
        <w:t xml:space="preserve"> Constitutional texts, The discretion of the legislator, Lawmaking</w:t>
      </w:r>
      <w:r w:rsidR="00DC64A7">
        <w:rPr>
          <w:rFonts w:asciiTheme="majorBidi" w:hAnsiTheme="majorBidi" w:cstheme="majorBidi"/>
          <w:sz w:val="28"/>
          <w:szCs w:val="28"/>
          <w:lang w:bidi="ar-IQ"/>
        </w:rPr>
        <w:t>.</w:t>
      </w:r>
      <w:bookmarkStart w:id="0" w:name="_GoBack"/>
      <w:bookmarkEnd w:id="0"/>
    </w:p>
    <w:sectPr w:rsidR="00A80E7E" w:rsidRPr="00330F61" w:rsidSect="00844471">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440" w:right="1556" w:bottom="1440" w:left="1350" w:header="708" w:footer="0" w:gutter="0"/>
      <w:pgNumType w:start="52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C8F" w:rsidRDefault="00B13C8F" w:rsidP="00384B31">
      <w:pPr>
        <w:spacing w:after="0" w:line="240" w:lineRule="auto"/>
      </w:pPr>
      <w:r>
        <w:separator/>
      </w:r>
    </w:p>
  </w:endnote>
  <w:endnote w:type="continuationSeparator" w:id="0">
    <w:p w:rsidR="00B13C8F" w:rsidRDefault="00B13C8F" w:rsidP="00384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Default="009077BC">
    <w:pPr>
      <w:pStyle w:val="a6"/>
    </w:pPr>
  </w:p>
  <w:p w:rsidR="009077BC" w:rsidRDefault="009077BC"/>
  <w:p w:rsidR="009077BC" w:rsidRDefault="009077BC"/>
  <w:p w:rsidR="009077BC" w:rsidRDefault="009077BC"/>
  <w:p w:rsidR="009077BC" w:rsidRDefault="009077BC"/>
  <w:p w:rsidR="003336D7" w:rsidRDefault="003336D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9077BC">
      <w:tc>
        <w:tcPr>
          <w:tcW w:w="4500" w:type="pct"/>
          <w:tcBorders>
            <w:top w:val="single" w:sz="4" w:space="0" w:color="000000" w:themeColor="text1"/>
          </w:tcBorders>
        </w:tcPr>
        <w:p w:rsidR="009077BC" w:rsidRPr="007305AE" w:rsidRDefault="009077BC" w:rsidP="00431195">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26</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16</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2023</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431195">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كانون الثاني</w:t>
          </w:r>
        </w:p>
      </w:tc>
      <w:tc>
        <w:tcPr>
          <w:tcW w:w="500" w:type="pct"/>
          <w:tcBorders>
            <w:top w:val="single" w:sz="4" w:space="0" w:color="C0504D" w:themeColor="accent2"/>
          </w:tcBorders>
          <w:shd w:val="clear" w:color="auto" w:fill="943634" w:themeFill="accent2" w:themeFillShade="BF"/>
        </w:tcPr>
        <w:p w:rsidR="009077BC" w:rsidRPr="0008238F" w:rsidRDefault="009077BC"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3B7082" w:rsidRPr="003B7082">
            <w:rPr>
              <w:rFonts w:asciiTheme="majorBidi" w:hAnsiTheme="majorBidi" w:cstheme="majorBidi"/>
              <w:b/>
              <w:bCs/>
              <w:noProof/>
              <w:color w:val="FFFFFF" w:themeColor="background1"/>
              <w:sz w:val="28"/>
              <w:szCs w:val="28"/>
              <w:rtl/>
              <w:lang w:val="ar-SA"/>
            </w:rPr>
            <w:t>546</w:t>
          </w:r>
          <w:r w:rsidRPr="0008238F">
            <w:rPr>
              <w:rFonts w:asciiTheme="majorBidi" w:hAnsiTheme="majorBidi" w:cstheme="majorBidi"/>
              <w:b/>
              <w:bCs/>
              <w:color w:val="FFFFFF" w:themeColor="background1"/>
              <w:sz w:val="28"/>
              <w:szCs w:val="28"/>
            </w:rPr>
            <w:fldChar w:fldCharType="end"/>
          </w:r>
        </w:p>
      </w:tc>
    </w:tr>
  </w:tbl>
  <w:p w:rsidR="009077BC" w:rsidRDefault="009077BC">
    <w:pPr>
      <w:pStyle w:val="a6"/>
    </w:pPr>
  </w:p>
  <w:p w:rsidR="009077BC" w:rsidRDefault="009077BC"/>
  <w:p w:rsidR="009077BC" w:rsidRDefault="009077BC"/>
  <w:p w:rsidR="009077BC" w:rsidRDefault="009077BC"/>
  <w:p w:rsidR="009077BC" w:rsidRDefault="009077BC"/>
  <w:p w:rsidR="003336D7" w:rsidRDefault="003336D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71" w:rsidRDefault="008444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C8F" w:rsidRDefault="00B13C8F" w:rsidP="00384B31">
      <w:pPr>
        <w:spacing w:after="0" w:line="240" w:lineRule="auto"/>
      </w:pPr>
      <w:r>
        <w:separator/>
      </w:r>
    </w:p>
  </w:footnote>
  <w:footnote w:type="continuationSeparator" w:id="0">
    <w:p w:rsidR="00B13C8F" w:rsidRDefault="00B13C8F"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Default="009077BC">
    <w:pPr>
      <w:pStyle w:val="a5"/>
    </w:pPr>
  </w:p>
  <w:p w:rsidR="009077BC" w:rsidRDefault="009077BC"/>
  <w:p w:rsidR="009077BC" w:rsidRDefault="009077BC"/>
  <w:p w:rsidR="009077BC" w:rsidRDefault="009077BC"/>
  <w:p w:rsidR="009077BC" w:rsidRDefault="009077BC"/>
  <w:p w:rsidR="003336D7" w:rsidRDefault="003336D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7BC" w:rsidRPr="00A72EC0" w:rsidRDefault="009077BC" w:rsidP="00F0668F">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3D5BC073" wp14:editId="03F2D2D9">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471" w:rsidRDefault="0084447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29EE"/>
    <w:multiLevelType w:val="hybridMultilevel"/>
    <w:tmpl w:val="C8C01226"/>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E0345"/>
    <w:multiLevelType w:val="hybridMultilevel"/>
    <w:tmpl w:val="2266261A"/>
    <w:lvl w:ilvl="0" w:tplc="0409000F">
      <w:start w:val="1"/>
      <w:numFmt w:val="decimal"/>
      <w:lvlText w:val="%1."/>
      <w:lvlJc w:val="left"/>
      <w:pPr>
        <w:ind w:left="1229" w:hanging="360"/>
      </w:pPr>
    </w:lvl>
    <w:lvl w:ilvl="1" w:tplc="04090019" w:tentative="1">
      <w:start w:val="1"/>
      <w:numFmt w:val="lowerLetter"/>
      <w:lvlText w:val="%2."/>
      <w:lvlJc w:val="left"/>
      <w:pPr>
        <w:ind w:left="1949" w:hanging="360"/>
      </w:pPr>
    </w:lvl>
    <w:lvl w:ilvl="2" w:tplc="0409001B" w:tentative="1">
      <w:start w:val="1"/>
      <w:numFmt w:val="lowerRoman"/>
      <w:lvlText w:val="%3."/>
      <w:lvlJc w:val="right"/>
      <w:pPr>
        <w:ind w:left="2669" w:hanging="180"/>
      </w:pPr>
    </w:lvl>
    <w:lvl w:ilvl="3" w:tplc="0409000F" w:tentative="1">
      <w:start w:val="1"/>
      <w:numFmt w:val="decimal"/>
      <w:lvlText w:val="%4."/>
      <w:lvlJc w:val="left"/>
      <w:pPr>
        <w:ind w:left="3389" w:hanging="360"/>
      </w:pPr>
    </w:lvl>
    <w:lvl w:ilvl="4" w:tplc="04090019" w:tentative="1">
      <w:start w:val="1"/>
      <w:numFmt w:val="lowerLetter"/>
      <w:lvlText w:val="%5."/>
      <w:lvlJc w:val="left"/>
      <w:pPr>
        <w:ind w:left="4109" w:hanging="360"/>
      </w:pPr>
    </w:lvl>
    <w:lvl w:ilvl="5" w:tplc="0409001B" w:tentative="1">
      <w:start w:val="1"/>
      <w:numFmt w:val="lowerRoman"/>
      <w:lvlText w:val="%6."/>
      <w:lvlJc w:val="right"/>
      <w:pPr>
        <w:ind w:left="4829" w:hanging="180"/>
      </w:pPr>
    </w:lvl>
    <w:lvl w:ilvl="6" w:tplc="0409000F" w:tentative="1">
      <w:start w:val="1"/>
      <w:numFmt w:val="decimal"/>
      <w:lvlText w:val="%7."/>
      <w:lvlJc w:val="left"/>
      <w:pPr>
        <w:ind w:left="5549" w:hanging="360"/>
      </w:pPr>
    </w:lvl>
    <w:lvl w:ilvl="7" w:tplc="04090019" w:tentative="1">
      <w:start w:val="1"/>
      <w:numFmt w:val="lowerLetter"/>
      <w:lvlText w:val="%8."/>
      <w:lvlJc w:val="left"/>
      <w:pPr>
        <w:ind w:left="6269" w:hanging="360"/>
      </w:pPr>
    </w:lvl>
    <w:lvl w:ilvl="8" w:tplc="0409001B" w:tentative="1">
      <w:start w:val="1"/>
      <w:numFmt w:val="lowerRoman"/>
      <w:lvlText w:val="%9."/>
      <w:lvlJc w:val="right"/>
      <w:pPr>
        <w:ind w:left="6989" w:hanging="180"/>
      </w:pPr>
    </w:lvl>
  </w:abstractNum>
  <w:abstractNum w:abstractNumId="2">
    <w:nsid w:val="12D40952"/>
    <w:multiLevelType w:val="hybridMultilevel"/>
    <w:tmpl w:val="0048237A"/>
    <w:lvl w:ilvl="0" w:tplc="54FA56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21B89"/>
    <w:multiLevelType w:val="hybridMultilevel"/>
    <w:tmpl w:val="326EEE3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nsid w:val="16D947D7"/>
    <w:multiLevelType w:val="multilevel"/>
    <w:tmpl w:val="9852F19A"/>
    <w:lvl w:ilvl="0">
      <w:start w:val="13"/>
      <w:numFmt w:val="decimal"/>
      <w:lvlText w:val="%1"/>
      <w:lvlJc w:val="left"/>
      <w:pPr>
        <w:ind w:left="600" w:hanging="600"/>
      </w:pPr>
      <w:rPr>
        <w:rFonts w:cs="Times New Roman" w:hint="default"/>
      </w:rPr>
    </w:lvl>
    <w:lvl w:ilvl="1">
      <w:start w:val="3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AFB56DE"/>
    <w:multiLevelType w:val="hybridMultilevel"/>
    <w:tmpl w:val="EF32DC4E"/>
    <w:lvl w:ilvl="0" w:tplc="BF32943E">
      <w:start w:val="1"/>
      <w:numFmt w:val="decimal"/>
      <w:lvlText w:val="%1-"/>
      <w:lvlJc w:val="left"/>
      <w:pPr>
        <w:ind w:left="1524" w:hanging="39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nsid w:val="1C7E4CA2"/>
    <w:multiLevelType w:val="hybridMultilevel"/>
    <w:tmpl w:val="0048237A"/>
    <w:lvl w:ilvl="0" w:tplc="54FA5698">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8942D6"/>
    <w:multiLevelType w:val="multilevel"/>
    <w:tmpl w:val="49FEE8CC"/>
    <w:lvl w:ilvl="0">
      <w:start w:val="1"/>
      <w:numFmt w:val="upperRoman"/>
      <w:pStyle w:val="1"/>
      <w:lvlText w:val="%1."/>
      <w:lvlJc w:val="left"/>
      <w:pPr>
        <w:ind w:left="0" w:firstLine="0"/>
      </w:pPr>
    </w:lvl>
    <w:lvl w:ilvl="1">
      <w:start w:val="1"/>
      <w:numFmt w:val="upperLetter"/>
      <w:pStyle w:val="2"/>
      <w:lvlText w:val="%2."/>
      <w:lvlJc w:val="left"/>
      <w:pPr>
        <w:ind w:left="720" w:firstLine="0"/>
      </w:pPr>
    </w:lvl>
    <w:lvl w:ilvl="2">
      <w:start w:val="1"/>
      <w:numFmt w:val="decimal"/>
      <w:pStyle w:val="3"/>
      <w:lvlText w:val="%3."/>
      <w:lvlJc w:val="left"/>
      <w:pPr>
        <w:ind w:left="1440" w:firstLine="0"/>
      </w:pPr>
    </w:lvl>
    <w:lvl w:ilvl="3">
      <w:start w:val="1"/>
      <w:numFmt w:val="lowerLetter"/>
      <w:pStyle w:val="4"/>
      <w:lvlText w:val="%4)"/>
      <w:lvlJc w:val="left"/>
      <w:pPr>
        <w:ind w:left="2160" w:firstLine="0"/>
      </w:pPr>
    </w:lvl>
    <w:lvl w:ilvl="4">
      <w:start w:val="1"/>
      <w:numFmt w:val="decimal"/>
      <w:pStyle w:val="5"/>
      <w:lvlText w:val="(%5)"/>
      <w:lvlJc w:val="left"/>
      <w:pPr>
        <w:ind w:left="2880" w:firstLine="0"/>
      </w:pPr>
    </w:lvl>
    <w:lvl w:ilvl="5">
      <w:start w:val="1"/>
      <w:numFmt w:val="lowerLetter"/>
      <w:pStyle w:val="6"/>
      <w:lvlText w:val="(%6)"/>
      <w:lvlJc w:val="left"/>
      <w:pPr>
        <w:ind w:left="3600" w:firstLine="0"/>
      </w:pPr>
    </w:lvl>
    <w:lvl w:ilvl="6">
      <w:start w:val="1"/>
      <w:numFmt w:val="lowerRoman"/>
      <w:pStyle w:val="7"/>
      <w:lvlText w:val="(%7)"/>
      <w:lvlJc w:val="left"/>
      <w:pPr>
        <w:ind w:left="4320" w:firstLine="0"/>
      </w:pPr>
    </w:lvl>
    <w:lvl w:ilvl="7">
      <w:start w:val="1"/>
      <w:numFmt w:val="lowerLetter"/>
      <w:pStyle w:val="8"/>
      <w:lvlText w:val="(%8)"/>
      <w:lvlJc w:val="left"/>
      <w:pPr>
        <w:ind w:left="5040" w:firstLine="0"/>
      </w:pPr>
    </w:lvl>
    <w:lvl w:ilvl="8">
      <w:start w:val="1"/>
      <w:numFmt w:val="lowerRoman"/>
      <w:lvlText w:val="(%9)"/>
      <w:lvlJc w:val="left"/>
      <w:pPr>
        <w:ind w:left="5760" w:firstLine="0"/>
      </w:pPr>
    </w:lvl>
  </w:abstractNum>
  <w:abstractNum w:abstractNumId="8">
    <w:nsid w:val="1F355E07"/>
    <w:multiLevelType w:val="hybridMultilevel"/>
    <w:tmpl w:val="0DD4BE4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57D67AF"/>
    <w:multiLevelType w:val="hybridMultilevel"/>
    <w:tmpl w:val="EB248CC4"/>
    <w:lvl w:ilvl="0" w:tplc="A5BEE99E">
      <w:start w:val="1"/>
      <w:numFmt w:val="decimal"/>
      <w:lvlText w:val="%1."/>
      <w:lvlJc w:val="left"/>
      <w:pPr>
        <w:ind w:left="360" w:hanging="360"/>
      </w:pPr>
      <w:rPr>
        <w:rFonts w:hint="default"/>
        <w:b/>
        <w:bCs/>
      </w:rPr>
    </w:lvl>
    <w:lvl w:ilvl="1" w:tplc="E49CB304">
      <w:start w:val="1"/>
      <w:numFmt w:val="decimal"/>
      <w:lvlText w:val="%2-"/>
      <w:lvlJc w:val="left"/>
      <w:pPr>
        <w:ind w:left="1080" w:hanging="360"/>
      </w:pPr>
      <w:rPr>
        <w:rFonts w:eastAsia="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C532D9"/>
    <w:multiLevelType w:val="hybridMultilevel"/>
    <w:tmpl w:val="A05C5868"/>
    <w:lvl w:ilvl="0" w:tplc="B82E45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DE71AA"/>
    <w:multiLevelType w:val="hybridMultilevel"/>
    <w:tmpl w:val="69987978"/>
    <w:lvl w:ilvl="0" w:tplc="9E56C9B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7A512CF"/>
    <w:multiLevelType w:val="hybridMultilevel"/>
    <w:tmpl w:val="3272C472"/>
    <w:lvl w:ilvl="0" w:tplc="D3865E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464752"/>
    <w:multiLevelType w:val="hybridMultilevel"/>
    <w:tmpl w:val="EDF8FD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A8D0D97"/>
    <w:multiLevelType w:val="hybridMultilevel"/>
    <w:tmpl w:val="3E70D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B91268"/>
    <w:multiLevelType w:val="hybridMultilevel"/>
    <w:tmpl w:val="25AA364A"/>
    <w:lvl w:ilvl="0" w:tplc="72106E7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836149"/>
    <w:multiLevelType w:val="hybridMultilevel"/>
    <w:tmpl w:val="FB6030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DC2C41"/>
    <w:multiLevelType w:val="hybridMultilevel"/>
    <w:tmpl w:val="9FC0F91A"/>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8079E5"/>
    <w:multiLevelType w:val="hybridMultilevel"/>
    <w:tmpl w:val="04601DE4"/>
    <w:lvl w:ilvl="0" w:tplc="76785DE2">
      <w:numFmt w:val="bullet"/>
      <w:lvlText w:val="-"/>
      <w:lvlJc w:val="left"/>
      <w:pPr>
        <w:ind w:left="810" w:hanging="360"/>
      </w:pPr>
      <w:rPr>
        <w:rFonts w:ascii="Arial" w:eastAsiaTheme="minorHAnsi" w:hAnsi="Arial" w:cs="Aria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38060A88"/>
    <w:multiLevelType w:val="hybridMultilevel"/>
    <w:tmpl w:val="83B42E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4A206374"/>
    <w:multiLevelType w:val="hybridMultilevel"/>
    <w:tmpl w:val="81609EC8"/>
    <w:lvl w:ilvl="0" w:tplc="338AC308">
      <w:numFmt w:val="bullet"/>
      <w:lvlText w:val="-"/>
      <w:lvlJc w:val="left"/>
      <w:pPr>
        <w:ind w:left="1170" w:hanging="360"/>
      </w:pPr>
      <w:rPr>
        <w:rFonts w:ascii="Arial" w:eastAsiaTheme="minorHAns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506A38A7"/>
    <w:multiLevelType w:val="hybridMultilevel"/>
    <w:tmpl w:val="7DACC49E"/>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4E53BD"/>
    <w:multiLevelType w:val="multilevel"/>
    <w:tmpl w:val="A2A87382"/>
    <w:lvl w:ilvl="0">
      <w:start w:val="4"/>
      <w:numFmt w:val="decimal"/>
      <w:lvlText w:val="%1"/>
      <w:lvlJc w:val="left"/>
      <w:pPr>
        <w:ind w:left="360" w:hanging="360"/>
      </w:pPr>
      <w:rPr>
        <w:rFonts w:cs="Times New Roman" w:hint="default"/>
      </w:rPr>
    </w:lvl>
    <w:lvl w:ilvl="1">
      <w:start w:val="7"/>
      <w:numFmt w:val="decimal"/>
      <w:lvlText w:val="%1-%2"/>
      <w:lvlJc w:val="left"/>
      <w:pPr>
        <w:ind w:left="900" w:hanging="72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3">
    <w:nsid w:val="555B5D83"/>
    <w:multiLevelType w:val="hybridMultilevel"/>
    <w:tmpl w:val="731ED296"/>
    <w:lvl w:ilvl="0" w:tplc="4622FC4E">
      <w:start w:val="1"/>
      <w:numFmt w:val="decimal"/>
      <w:lvlText w:val="%1."/>
      <w:lvlJc w:val="left"/>
      <w:pPr>
        <w:ind w:left="720" w:hanging="360"/>
      </w:pPr>
      <w:rPr>
        <w:rFonts w:hint="default"/>
        <w:b/>
        <w:bCs/>
      </w:rPr>
    </w:lvl>
    <w:lvl w:ilvl="1" w:tplc="0F7C4A0C">
      <w:start w:val="1"/>
      <w:numFmt w:val="decimal"/>
      <w:lvlText w:val="%2-"/>
      <w:lvlJc w:val="left"/>
      <w:pPr>
        <w:ind w:left="1440" w:hanging="360"/>
      </w:pPr>
      <w:rPr>
        <w:rFonts w:eastAsia="Times New Roman"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647CBA"/>
    <w:multiLevelType w:val="hybridMultilevel"/>
    <w:tmpl w:val="A0F4460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nsid w:val="5FE778E1"/>
    <w:multiLevelType w:val="multilevel"/>
    <w:tmpl w:val="5962709E"/>
    <w:lvl w:ilvl="0">
      <w:start w:val="7"/>
      <w:numFmt w:val="decimal"/>
      <w:lvlText w:val="%1"/>
      <w:lvlJc w:val="left"/>
      <w:pPr>
        <w:ind w:left="480" w:hanging="480"/>
      </w:pPr>
      <w:rPr>
        <w:rFonts w:cs="Times New Roman" w:hint="default"/>
      </w:rPr>
    </w:lvl>
    <w:lvl w:ilvl="1">
      <w:start w:val="1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4E9111B"/>
    <w:multiLevelType w:val="hybridMultilevel"/>
    <w:tmpl w:val="A46A1318"/>
    <w:lvl w:ilvl="0" w:tplc="BF32943E">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1039B6"/>
    <w:multiLevelType w:val="hybridMultilevel"/>
    <w:tmpl w:val="537AF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AF163D9"/>
    <w:multiLevelType w:val="hybridMultilevel"/>
    <w:tmpl w:val="948EA2D4"/>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nsid w:val="6C2A6387"/>
    <w:multiLevelType w:val="hybridMultilevel"/>
    <w:tmpl w:val="52F048B2"/>
    <w:lvl w:ilvl="0" w:tplc="AFC227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8F64E5"/>
    <w:multiLevelType w:val="hybridMultilevel"/>
    <w:tmpl w:val="888A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23131D"/>
    <w:multiLevelType w:val="hybridMultilevel"/>
    <w:tmpl w:val="EF58B2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6766A9D"/>
    <w:multiLevelType w:val="hybridMultilevel"/>
    <w:tmpl w:val="3820A85A"/>
    <w:lvl w:ilvl="0" w:tplc="0409000F">
      <w:start w:val="1"/>
      <w:numFmt w:val="decimal"/>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7472071"/>
    <w:multiLevelType w:val="hybridMultilevel"/>
    <w:tmpl w:val="AD2843F0"/>
    <w:lvl w:ilvl="0" w:tplc="B9B259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214BF2"/>
    <w:multiLevelType w:val="hybridMultilevel"/>
    <w:tmpl w:val="7F30BF0A"/>
    <w:lvl w:ilvl="0" w:tplc="AD0EA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0"/>
  </w:num>
  <w:num w:numId="3">
    <w:abstractNumId w:val="22"/>
  </w:num>
  <w:num w:numId="4">
    <w:abstractNumId w:val="4"/>
  </w:num>
  <w:num w:numId="5">
    <w:abstractNumId w:val="25"/>
  </w:num>
  <w:num w:numId="6">
    <w:abstractNumId w:val="26"/>
  </w:num>
  <w:num w:numId="7">
    <w:abstractNumId w:val="5"/>
  </w:num>
  <w:num w:numId="8">
    <w:abstractNumId w:val="1"/>
  </w:num>
  <w:num w:numId="9">
    <w:abstractNumId w:val="11"/>
  </w:num>
  <w:num w:numId="10">
    <w:abstractNumId w:val="17"/>
  </w:num>
  <w:num w:numId="11">
    <w:abstractNumId w:val="21"/>
  </w:num>
  <w:num w:numId="12">
    <w:abstractNumId w:val="29"/>
  </w:num>
  <w:num w:numId="13">
    <w:abstractNumId w:val="0"/>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num>
  <w:num w:numId="17">
    <w:abstractNumId w:val="9"/>
  </w:num>
  <w:num w:numId="18">
    <w:abstractNumId w:val="6"/>
  </w:num>
  <w:num w:numId="19">
    <w:abstractNumId w:val="23"/>
  </w:num>
  <w:num w:numId="20">
    <w:abstractNumId w:val="2"/>
  </w:num>
  <w:num w:numId="21">
    <w:abstractNumId w:val="33"/>
  </w:num>
  <w:num w:numId="22">
    <w:abstractNumId w:val="18"/>
  </w:num>
  <w:num w:numId="23">
    <w:abstractNumId w:val="20"/>
  </w:num>
  <w:num w:numId="24">
    <w:abstractNumId w:val="10"/>
  </w:num>
  <w:num w:numId="25">
    <w:abstractNumId w:val="15"/>
  </w:num>
  <w:num w:numId="26">
    <w:abstractNumId w:val="24"/>
  </w:num>
  <w:num w:numId="27">
    <w:abstractNumId w:val="8"/>
  </w:num>
  <w:num w:numId="28">
    <w:abstractNumId w:val="28"/>
  </w:num>
  <w:num w:numId="29">
    <w:abstractNumId w:val="19"/>
  </w:num>
  <w:num w:numId="30">
    <w:abstractNumId w:val="3"/>
  </w:num>
  <w:num w:numId="31">
    <w:abstractNumId w:val="31"/>
  </w:num>
  <w:num w:numId="32">
    <w:abstractNumId w:val="14"/>
  </w:num>
  <w:num w:numId="33">
    <w:abstractNumId w:val="16"/>
  </w:num>
  <w:num w:numId="34">
    <w:abstractNumId w:val="12"/>
  </w:num>
  <w:num w:numId="35">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587C"/>
    <w:rsid w:val="00005B2B"/>
    <w:rsid w:val="000061AC"/>
    <w:rsid w:val="00013C9D"/>
    <w:rsid w:val="00022263"/>
    <w:rsid w:val="00025070"/>
    <w:rsid w:val="0003008D"/>
    <w:rsid w:val="00034988"/>
    <w:rsid w:val="00035D4E"/>
    <w:rsid w:val="00040C35"/>
    <w:rsid w:val="00041374"/>
    <w:rsid w:val="0004267C"/>
    <w:rsid w:val="00047497"/>
    <w:rsid w:val="00055BFC"/>
    <w:rsid w:val="00062E2D"/>
    <w:rsid w:val="00063805"/>
    <w:rsid w:val="00063BF6"/>
    <w:rsid w:val="0006470F"/>
    <w:rsid w:val="000665AD"/>
    <w:rsid w:val="00072904"/>
    <w:rsid w:val="0008238F"/>
    <w:rsid w:val="00091FDC"/>
    <w:rsid w:val="000934D9"/>
    <w:rsid w:val="0009377B"/>
    <w:rsid w:val="000A04A8"/>
    <w:rsid w:val="000B1567"/>
    <w:rsid w:val="000B34AB"/>
    <w:rsid w:val="000B57D2"/>
    <w:rsid w:val="000C3E3A"/>
    <w:rsid w:val="000D12EA"/>
    <w:rsid w:val="000D45DA"/>
    <w:rsid w:val="000D644A"/>
    <w:rsid w:val="000E2783"/>
    <w:rsid w:val="000F5671"/>
    <w:rsid w:val="00114F5D"/>
    <w:rsid w:val="001156AD"/>
    <w:rsid w:val="00116561"/>
    <w:rsid w:val="00126EA9"/>
    <w:rsid w:val="00127EA0"/>
    <w:rsid w:val="0013025D"/>
    <w:rsid w:val="00130C15"/>
    <w:rsid w:val="001336CC"/>
    <w:rsid w:val="00133943"/>
    <w:rsid w:val="0013599E"/>
    <w:rsid w:val="00141D44"/>
    <w:rsid w:val="001432B6"/>
    <w:rsid w:val="00152CAD"/>
    <w:rsid w:val="001603A8"/>
    <w:rsid w:val="00165164"/>
    <w:rsid w:val="00166355"/>
    <w:rsid w:val="001717ED"/>
    <w:rsid w:val="00187F12"/>
    <w:rsid w:val="0019073E"/>
    <w:rsid w:val="001923E3"/>
    <w:rsid w:val="00195A97"/>
    <w:rsid w:val="001A199B"/>
    <w:rsid w:val="001A20BF"/>
    <w:rsid w:val="001A5B48"/>
    <w:rsid w:val="001A63EF"/>
    <w:rsid w:val="001C5892"/>
    <w:rsid w:val="001D165B"/>
    <w:rsid w:val="001D1B66"/>
    <w:rsid w:val="001D30D2"/>
    <w:rsid w:val="001D41B6"/>
    <w:rsid w:val="001D564F"/>
    <w:rsid w:val="001D67A9"/>
    <w:rsid w:val="001E3234"/>
    <w:rsid w:val="001F0A9B"/>
    <w:rsid w:val="001F0D1F"/>
    <w:rsid w:val="0020680A"/>
    <w:rsid w:val="002114C8"/>
    <w:rsid w:val="00211ECC"/>
    <w:rsid w:val="00221195"/>
    <w:rsid w:val="00222E39"/>
    <w:rsid w:val="00242B26"/>
    <w:rsid w:val="00243BB9"/>
    <w:rsid w:val="00243F92"/>
    <w:rsid w:val="00254B91"/>
    <w:rsid w:val="00256B29"/>
    <w:rsid w:val="00261E18"/>
    <w:rsid w:val="00265FAB"/>
    <w:rsid w:val="002672B9"/>
    <w:rsid w:val="0026730E"/>
    <w:rsid w:val="0027159C"/>
    <w:rsid w:val="00273555"/>
    <w:rsid w:val="002746C4"/>
    <w:rsid w:val="00281993"/>
    <w:rsid w:val="00285E4E"/>
    <w:rsid w:val="00286202"/>
    <w:rsid w:val="002A57C6"/>
    <w:rsid w:val="002A5AF1"/>
    <w:rsid w:val="002B0A52"/>
    <w:rsid w:val="002B4135"/>
    <w:rsid w:val="002B6FA9"/>
    <w:rsid w:val="002C20EA"/>
    <w:rsid w:val="002C4130"/>
    <w:rsid w:val="002C6DE4"/>
    <w:rsid w:val="002D2E1F"/>
    <w:rsid w:val="002E5D54"/>
    <w:rsid w:val="002E7F45"/>
    <w:rsid w:val="002F13CA"/>
    <w:rsid w:val="002F2FB9"/>
    <w:rsid w:val="002F5D4D"/>
    <w:rsid w:val="003007D7"/>
    <w:rsid w:val="00310F72"/>
    <w:rsid w:val="00315145"/>
    <w:rsid w:val="00323881"/>
    <w:rsid w:val="00327561"/>
    <w:rsid w:val="00330F61"/>
    <w:rsid w:val="003336D7"/>
    <w:rsid w:val="00340C4C"/>
    <w:rsid w:val="00341E6E"/>
    <w:rsid w:val="00346F32"/>
    <w:rsid w:val="00350D72"/>
    <w:rsid w:val="00351835"/>
    <w:rsid w:val="00353050"/>
    <w:rsid w:val="00354BF2"/>
    <w:rsid w:val="0036237E"/>
    <w:rsid w:val="00363220"/>
    <w:rsid w:val="0037262C"/>
    <w:rsid w:val="00384B31"/>
    <w:rsid w:val="00387891"/>
    <w:rsid w:val="00387A28"/>
    <w:rsid w:val="0039209D"/>
    <w:rsid w:val="00392970"/>
    <w:rsid w:val="003A2761"/>
    <w:rsid w:val="003A5B98"/>
    <w:rsid w:val="003B1607"/>
    <w:rsid w:val="003B4F60"/>
    <w:rsid w:val="003B7082"/>
    <w:rsid w:val="003B7E5F"/>
    <w:rsid w:val="003C512E"/>
    <w:rsid w:val="003C6285"/>
    <w:rsid w:val="003D1970"/>
    <w:rsid w:val="003D24B7"/>
    <w:rsid w:val="003D4105"/>
    <w:rsid w:val="003E2DAA"/>
    <w:rsid w:val="003E4645"/>
    <w:rsid w:val="003E63A1"/>
    <w:rsid w:val="003F20D9"/>
    <w:rsid w:val="003F249E"/>
    <w:rsid w:val="00401BEF"/>
    <w:rsid w:val="00410938"/>
    <w:rsid w:val="00413231"/>
    <w:rsid w:val="00416FA3"/>
    <w:rsid w:val="0042333D"/>
    <w:rsid w:val="00430357"/>
    <w:rsid w:val="00431195"/>
    <w:rsid w:val="0043127F"/>
    <w:rsid w:val="004374A2"/>
    <w:rsid w:val="0044164A"/>
    <w:rsid w:val="00441A7C"/>
    <w:rsid w:val="004478A6"/>
    <w:rsid w:val="00453C1E"/>
    <w:rsid w:val="00463D56"/>
    <w:rsid w:val="004675E6"/>
    <w:rsid w:val="00470A22"/>
    <w:rsid w:val="00472E68"/>
    <w:rsid w:val="00477E56"/>
    <w:rsid w:val="00482172"/>
    <w:rsid w:val="004833D0"/>
    <w:rsid w:val="00483978"/>
    <w:rsid w:val="00487210"/>
    <w:rsid w:val="00492BEF"/>
    <w:rsid w:val="004930A2"/>
    <w:rsid w:val="0049770A"/>
    <w:rsid w:val="004A511B"/>
    <w:rsid w:val="004A7C6A"/>
    <w:rsid w:val="004B0A91"/>
    <w:rsid w:val="004B3F86"/>
    <w:rsid w:val="004B6FDD"/>
    <w:rsid w:val="004C7E1D"/>
    <w:rsid w:val="004D3E60"/>
    <w:rsid w:val="004D4DFB"/>
    <w:rsid w:val="004E13CA"/>
    <w:rsid w:val="004E1E6D"/>
    <w:rsid w:val="004F37E3"/>
    <w:rsid w:val="004F3C2A"/>
    <w:rsid w:val="004F6769"/>
    <w:rsid w:val="004F6EA1"/>
    <w:rsid w:val="005004A2"/>
    <w:rsid w:val="00502435"/>
    <w:rsid w:val="00507087"/>
    <w:rsid w:val="0051194D"/>
    <w:rsid w:val="00522C81"/>
    <w:rsid w:val="00523792"/>
    <w:rsid w:val="00523C51"/>
    <w:rsid w:val="00526464"/>
    <w:rsid w:val="00534925"/>
    <w:rsid w:val="00536BA8"/>
    <w:rsid w:val="00540864"/>
    <w:rsid w:val="00543322"/>
    <w:rsid w:val="005472F8"/>
    <w:rsid w:val="00560AF9"/>
    <w:rsid w:val="00566626"/>
    <w:rsid w:val="00570875"/>
    <w:rsid w:val="00575AF9"/>
    <w:rsid w:val="0057742F"/>
    <w:rsid w:val="00580031"/>
    <w:rsid w:val="0058107F"/>
    <w:rsid w:val="00581127"/>
    <w:rsid w:val="00581F59"/>
    <w:rsid w:val="0058479E"/>
    <w:rsid w:val="00586DBB"/>
    <w:rsid w:val="00587C37"/>
    <w:rsid w:val="00597CCE"/>
    <w:rsid w:val="005A0FF8"/>
    <w:rsid w:val="005A3470"/>
    <w:rsid w:val="005A71B7"/>
    <w:rsid w:val="005B509B"/>
    <w:rsid w:val="005B5261"/>
    <w:rsid w:val="005E089C"/>
    <w:rsid w:val="005E1CA2"/>
    <w:rsid w:val="005E5731"/>
    <w:rsid w:val="005F069E"/>
    <w:rsid w:val="005F218B"/>
    <w:rsid w:val="005F2906"/>
    <w:rsid w:val="006011E8"/>
    <w:rsid w:val="006061F7"/>
    <w:rsid w:val="00614ABE"/>
    <w:rsid w:val="0062141F"/>
    <w:rsid w:val="00624D33"/>
    <w:rsid w:val="006255C1"/>
    <w:rsid w:val="006262F6"/>
    <w:rsid w:val="00632025"/>
    <w:rsid w:val="006345FA"/>
    <w:rsid w:val="00636244"/>
    <w:rsid w:val="00636882"/>
    <w:rsid w:val="0064566A"/>
    <w:rsid w:val="00645ACB"/>
    <w:rsid w:val="00653E20"/>
    <w:rsid w:val="00655D0B"/>
    <w:rsid w:val="0065633D"/>
    <w:rsid w:val="00657CE8"/>
    <w:rsid w:val="00664FEF"/>
    <w:rsid w:val="00671DC2"/>
    <w:rsid w:val="00673236"/>
    <w:rsid w:val="00682AF0"/>
    <w:rsid w:val="00686FC1"/>
    <w:rsid w:val="006938A5"/>
    <w:rsid w:val="00693A8E"/>
    <w:rsid w:val="0069719B"/>
    <w:rsid w:val="006A3A7E"/>
    <w:rsid w:val="006A4D9B"/>
    <w:rsid w:val="006B1D02"/>
    <w:rsid w:val="006B24F4"/>
    <w:rsid w:val="006B29CB"/>
    <w:rsid w:val="006B42E1"/>
    <w:rsid w:val="006B77E4"/>
    <w:rsid w:val="006C737E"/>
    <w:rsid w:val="006D00FE"/>
    <w:rsid w:val="006D3FE3"/>
    <w:rsid w:val="006D40BF"/>
    <w:rsid w:val="006D6D43"/>
    <w:rsid w:val="006E020F"/>
    <w:rsid w:val="006E11EB"/>
    <w:rsid w:val="006E1301"/>
    <w:rsid w:val="006E21D3"/>
    <w:rsid w:val="006F2D3F"/>
    <w:rsid w:val="00700197"/>
    <w:rsid w:val="00702DA7"/>
    <w:rsid w:val="007078B5"/>
    <w:rsid w:val="00713775"/>
    <w:rsid w:val="00713A04"/>
    <w:rsid w:val="00713AA5"/>
    <w:rsid w:val="007210D9"/>
    <w:rsid w:val="00721D23"/>
    <w:rsid w:val="00727068"/>
    <w:rsid w:val="007305AE"/>
    <w:rsid w:val="0073589B"/>
    <w:rsid w:val="007359C5"/>
    <w:rsid w:val="007377FB"/>
    <w:rsid w:val="007455CC"/>
    <w:rsid w:val="007474BD"/>
    <w:rsid w:val="0075309E"/>
    <w:rsid w:val="00753C2E"/>
    <w:rsid w:val="00757612"/>
    <w:rsid w:val="007604C6"/>
    <w:rsid w:val="00765BF5"/>
    <w:rsid w:val="007713E5"/>
    <w:rsid w:val="007744F9"/>
    <w:rsid w:val="00775147"/>
    <w:rsid w:val="007775D4"/>
    <w:rsid w:val="007775F9"/>
    <w:rsid w:val="007829E8"/>
    <w:rsid w:val="007832FD"/>
    <w:rsid w:val="007846F6"/>
    <w:rsid w:val="00790015"/>
    <w:rsid w:val="00797DAD"/>
    <w:rsid w:val="007A55E7"/>
    <w:rsid w:val="007A7B02"/>
    <w:rsid w:val="007B0EF8"/>
    <w:rsid w:val="007B1655"/>
    <w:rsid w:val="007C2032"/>
    <w:rsid w:val="007C49C7"/>
    <w:rsid w:val="007C5369"/>
    <w:rsid w:val="007C626C"/>
    <w:rsid w:val="007D300E"/>
    <w:rsid w:val="007D4181"/>
    <w:rsid w:val="007D47E5"/>
    <w:rsid w:val="007E0DDE"/>
    <w:rsid w:val="007E2291"/>
    <w:rsid w:val="007E47C6"/>
    <w:rsid w:val="007E4F22"/>
    <w:rsid w:val="007E5E07"/>
    <w:rsid w:val="007F128A"/>
    <w:rsid w:val="007F2D81"/>
    <w:rsid w:val="007F2F5E"/>
    <w:rsid w:val="007F7713"/>
    <w:rsid w:val="007F784A"/>
    <w:rsid w:val="00801DE5"/>
    <w:rsid w:val="00805523"/>
    <w:rsid w:val="00824459"/>
    <w:rsid w:val="00834AA8"/>
    <w:rsid w:val="008358D0"/>
    <w:rsid w:val="00844471"/>
    <w:rsid w:val="00846B94"/>
    <w:rsid w:val="00851429"/>
    <w:rsid w:val="0085602D"/>
    <w:rsid w:val="0085770C"/>
    <w:rsid w:val="00861628"/>
    <w:rsid w:val="00865210"/>
    <w:rsid w:val="00876252"/>
    <w:rsid w:val="00876366"/>
    <w:rsid w:val="008862C4"/>
    <w:rsid w:val="00890BB4"/>
    <w:rsid w:val="008955D1"/>
    <w:rsid w:val="008A011A"/>
    <w:rsid w:val="008B415D"/>
    <w:rsid w:val="008B4DDA"/>
    <w:rsid w:val="008B5C7D"/>
    <w:rsid w:val="008C4DB5"/>
    <w:rsid w:val="008C7817"/>
    <w:rsid w:val="008E7559"/>
    <w:rsid w:val="008E77ED"/>
    <w:rsid w:val="008F170C"/>
    <w:rsid w:val="008F2A13"/>
    <w:rsid w:val="008F3DE8"/>
    <w:rsid w:val="00902FD0"/>
    <w:rsid w:val="00904923"/>
    <w:rsid w:val="009077BC"/>
    <w:rsid w:val="00910A86"/>
    <w:rsid w:val="0091107F"/>
    <w:rsid w:val="009122EC"/>
    <w:rsid w:val="00912CB4"/>
    <w:rsid w:val="009155A7"/>
    <w:rsid w:val="0092340F"/>
    <w:rsid w:val="00925079"/>
    <w:rsid w:val="00930AE9"/>
    <w:rsid w:val="0093264B"/>
    <w:rsid w:val="00940746"/>
    <w:rsid w:val="0094215C"/>
    <w:rsid w:val="00952C61"/>
    <w:rsid w:val="009549D8"/>
    <w:rsid w:val="009623A3"/>
    <w:rsid w:val="00965DC2"/>
    <w:rsid w:val="0096709E"/>
    <w:rsid w:val="0097378D"/>
    <w:rsid w:val="00974CEE"/>
    <w:rsid w:val="00977E12"/>
    <w:rsid w:val="0098344A"/>
    <w:rsid w:val="00983761"/>
    <w:rsid w:val="009901F0"/>
    <w:rsid w:val="00991495"/>
    <w:rsid w:val="00993ABB"/>
    <w:rsid w:val="009943EA"/>
    <w:rsid w:val="009A02FC"/>
    <w:rsid w:val="009B4D26"/>
    <w:rsid w:val="009C4A48"/>
    <w:rsid w:val="009C74DD"/>
    <w:rsid w:val="009E1585"/>
    <w:rsid w:val="009E5C95"/>
    <w:rsid w:val="009E6C19"/>
    <w:rsid w:val="009F2047"/>
    <w:rsid w:val="009F312D"/>
    <w:rsid w:val="00A0140C"/>
    <w:rsid w:val="00A0517A"/>
    <w:rsid w:val="00A05559"/>
    <w:rsid w:val="00A2016C"/>
    <w:rsid w:val="00A2312C"/>
    <w:rsid w:val="00A2456B"/>
    <w:rsid w:val="00A2551B"/>
    <w:rsid w:val="00A27585"/>
    <w:rsid w:val="00A31242"/>
    <w:rsid w:val="00A31D21"/>
    <w:rsid w:val="00A40A64"/>
    <w:rsid w:val="00A45937"/>
    <w:rsid w:val="00A568A7"/>
    <w:rsid w:val="00A57A96"/>
    <w:rsid w:val="00A612BC"/>
    <w:rsid w:val="00A61781"/>
    <w:rsid w:val="00A62C98"/>
    <w:rsid w:val="00A639C8"/>
    <w:rsid w:val="00A6672B"/>
    <w:rsid w:val="00A70CA9"/>
    <w:rsid w:val="00A72BA4"/>
    <w:rsid w:val="00A72EC0"/>
    <w:rsid w:val="00A75C3C"/>
    <w:rsid w:val="00A77571"/>
    <w:rsid w:val="00A7795C"/>
    <w:rsid w:val="00A800B3"/>
    <w:rsid w:val="00A80E7E"/>
    <w:rsid w:val="00A9107E"/>
    <w:rsid w:val="00A95A05"/>
    <w:rsid w:val="00AA4A94"/>
    <w:rsid w:val="00AA52E8"/>
    <w:rsid w:val="00AA5CC6"/>
    <w:rsid w:val="00AD524C"/>
    <w:rsid w:val="00AD728C"/>
    <w:rsid w:val="00AE4D4A"/>
    <w:rsid w:val="00AF28C0"/>
    <w:rsid w:val="00AF6AC7"/>
    <w:rsid w:val="00AF6BE8"/>
    <w:rsid w:val="00B1006B"/>
    <w:rsid w:val="00B13C8F"/>
    <w:rsid w:val="00B14FB9"/>
    <w:rsid w:val="00B160F0"/>
    <w:rsid w:val="00B2049C"/>
    <w:rsid w:val="00B20E58"/>
    <w:rsid w:val="00B359FC"/>
    <w:rsid w:val="00B43F09"/>
    <w:rsid w:val="00B44CCE"/>
    <w:rsid w:val="00B514D8"/>
    <w:rsid w:val="00B52179"/>
    <w:rsid w:val="00B53FA8"/>
    <w:rsid w:val="00B5693B"/>
    <w:rsid w:val="00B62CA5"/>
    <w:rsid w:val="00B6420A"/>
    <w:rsid w:val="00B70827"/>
    <w:rsid w:val="00B76C28"/>
    <w:rsid w:val="00B92129"/>
    <w:rsid w:val="00B92E97"/>
    <w:rsid w:val="00B941AA"/>
    <w:rsid w:val="00BA1651"/>
    <w:rsid w:val="00BA2347"/>
    <w:rsid w:val="00BA716C"/>
    <w:rsid w:val="00BB02CB"/>
    <w:rsid w:val="00BC0EA5"/>
    <w:rsid w:val="00BC1A47"/>
    <w:rsid w:val="00BC474A"/>
    <w:rsid w:val="00BC4F64"/>
    <w:rsid w:val="00BD12F1"/>
    <w:rsid w:val="00BD21FA"/>
    <w:rsid w:val="00BD5955"/>
    <w:rsid w:val="00BD602D"/>
    <w:rsid w:val="00BD67C9"/>
    <w:rsid w:val="00BE101F"/>
    <w:rsid w:val="00BE1DFE"/>
    <w:rsid w:val="00BE7790"/>
    <w:rsid w:val="00BE78E7"/>
    <w:rsid w:val="00BF3BAC"/>
    <w:rsid w:val="00C05B30"/>
    <w:rsid w:val="00C07B98"/>
    <w:rsid w:val="00C15405"/>
    <w:rsid w:val="00C164EF"/>
    <w:rsid w:val="00C16D59"/>
    <w:rsid w:val="00C20516"/>
    <w:rsid w:val="00C25A1E"/>
    <w:rsid w:val="00C27E88"/>
    <w:rsid w:val="00C304F7"/>
    <w:rsid w:val="00C33217"/>
    <w:rsid w:val="00C36EC0"/>
    <w:rsid w:val="00C43C76"/>
    <w:rsid w:val="00C44C49"/>
    <w:rsid w:val="00C527F7"/>
    <w:rsid w:val="00C60848"/>
    <w:rsid w:val="00C62E30"/>
    <w:rsid w:val="00C656ED"/>
    <w:rsid w:val="00C659A2"/>
    <w:rsid w:val="00C66B56"/>
    <w:rsid w:val="00C67238"/>
    <w:rsid w:val="00C759F5"/>
    <w:rsid w:val="00C7737D"/>
    <w:rsid w:val="00C800B5"/>
    <w:rsid w:val="00C8682B"/>
    <w:rsid w:val="00C922BF"/>
    <w:rsid w:val="00C97C68"/>
    <w:rsid w:val="00CA0280"/>
    <w:rsid w:val="00CA1461"/>
    <w:rsid w:val="00CA3C0E"/>
    <w:rsid w:val="00CA4F02"/>
    <w:rsid w:val="00CA5007"/>
    <w:rsid w:val="00CB0E17"/>
    <w:rsid w:val="00CB692E"/>
    <w:rsid w:val="00CB7695"/>
    <w:rsid w:val="00CC10F8"/>
    <w:rsid w:val="00CC1F48"/>
    <w:rsid w:val="00CD27A4"/>
    <w:rsid w:val="00CD3C06"/>
    <w:rsid w:val="00CD5504"/>
    <w:rsid w:val="00CE3CCD"/>
    <w:rsid w:val="00CF22CE"/>
    <w:rsid w:val="00CF34A7"/>
    <w:rsid w:val="00D029B7"/>
    <w:rsid w:val="00D0340B"/>
    <w:rsid w:val="00D218DE"/>
    <w:rsid w:val="00D23004"/>
    <w:rsid w:val="00D268BB"/>
    <w:rsid w:val="00D31461"/>
    <w:rsid w:val="00D348C5"/>
    <w:rsid w:val="00D409C5"/>
    <w:rsid w:val="00D435B3"/>
    <w:rsid w:val="00D5287F"/>
    <w:rsid w:val="00D628A8"/>
    <w:rsid w:val="00D6527C"/>
    <w:rsid w:val="00D67D54"/>
    <w:rsid w:val="00D73679"/>
    <w:rsid w:val="00D76053"/>
    <w:rsid w:val="00D83E01"/>
    <w:rsid w:val="00D84AE2"/>
    <w:rsid w:val="00D932B9"/>
    <w:rsid w:val="00D966FE"/>
    <w:rsid w:val="00D97F79"/>
    <w:rsid w:val="00DA23A2"/>
    <w:rsid w:val="00DA5D53"/>
    <w:rsid w:val="00DB13EC"/>
    <w:rsid w:val="00DB49E9"/>
    <w:rsid w:val="00DC64A7"/>
    <w:rsid w:val="00DD5A27"/>
    <w:rsid w:val="00DD6889"/>
    <w:rsid w:val="00DD78F6"/>
    <w:rsid w:val="00DE1C11"/>
    <w:rsid w:val="00DE1E50"/>
    <w:rsid w:val="00DE2869"/>
    <w:rsid w:val="00DF11D1"/>
    <w:rsid w:val="00DF1CAA"/>
    <w:rsid w:val="00DF2CE6"/>
    <w:rsid w:val="00DF54A4"/>
    <w:rsid w:val="00DF6930"/>
    <w:rsid w:val="00DF6AB4"/>
    <w:rsid w:val="00DF6F50"/>
    <w:rsid w:val="00E00233"/>
    <w:rsid w:val="00E11582"/>
    <w:rsid w:val="00E159F9"/>
    <w:rsid w:val="00E309A7"/>
    <w:rsid w:val="00E31542"/>
    <w:rsid w:val="00E339DF"/>
    <w:rsid w:val="00E33B56"/>
    <w:rsid w:val="00E34616"/>
    <w:rsid w:val="00E41E1D"/>
    <w:rsid w:val="00E42E7F"/>
    <w:rsid w:val="00E44C1D"/>
    <w:rsid w:val="00E576CF"/>
    <w:rsid w:val="00E630C4"/>
    <w:rsid w:val="00E644A5"/>
    <w:rsid w:val="00E67380"/>
    <w:rsid w:val="00E70456"/>
    <w:rsid w:val="00E7612F"/>
    <w:rsid w:val="00E86AE0"/>
    <w:rsid w:val="00E90668"/>
    <w:rsid w:val="00E9167D"/>
    <w:rsid w:val="00E9185D"/>
    <w:rsid w:val="00E97D0B"/>
    <w:rsid w:val="00EA6F16"/>
    <w:rsid w:val="00EA76B9"/>
    <w:rsid w:val="00EB045A"/>
    <w:rsid w:val="00EB29DE"/>
    <w:rsid w:val="00EB7CF7"/>
    <w:rsid w:val="00EC0AB5"/>
    <w:rsid w:val="00EC6833"/>
    <w:rsid w:val="00EC68EA"/>
    <w:rsid w:val="00EC74B1"/>
    <w:rsid w:val="00ED08B4"/>
    <w:rsid w:val="00ED0B8A"/>
    <w:rsid w:val="00ED268B"/>
    <w:rsid w:val="00ED53D4"/>
    <w:rsid w:val="00ED67EC"/>
    <w:rsid w:val="00EE288F"/>
    <w:rsid w:val="00EE2B29"/>
    <w:rsid w:val="00EE5B9F"/>
    <w:rsid w:val="00F0140A"/>
    <w:rsid w:val="00F0240B"/>
    <w:rsid w:val="00F03086"/>
    <w:rsid w:val="00F0668F"/>
    <w:rsid w:val="00F0790B"/>
    <w:rsid w:val="00F159FB"/>
    <w:rsid w:val="00F2106B"/>
    <w:rsid w:val="00F2612B"/>
    <w:rsid w:val="00F274ED"/>
    <w:rsid w:val="00F31112"/>
    <w:rsid w:val="00F32C56"/>
    <w:rsid w:val="00F33197"/>
    <w:rsid w:val="00F34ED9"/>
    <w:rsid w:val="00F4010A"/>
    <w:rsid w:val="00F456FC"/>
    <w:rsid w:val="00F47974"/>
    <w:rsid w:val="00F52743"/>
    <w:rsid w:val="00F52B0D"/>
    <w:rsid w:val="00F52CB3"/>
    <w:rsid w:val="00F54219"/>
    <w:rsid w:val="00F55499"/>
    <w:rsid w:val="00F61342"/>
    <w:rsid w:val="00F62851"/>
    <w:rsid w:val="00F64ADB"/>
    <w:rsid w:val="00F66A9C"/>
    <w:rsid w:val="00F6728D"/>
    <w:rsid w:val="00F8040D"/>
    <w:rsid w:val="00F9259B"/>
    <w:rsid w:val="00F94E61"/>
    <w:rsid w:val="00FA18C5"/>
    <w:rsid w:val="00FA2635"/>
    <w:rsid w:val="00FA284A"/>
    <w:rsid w:val="00FA2E2E"/>
    <w:rsid w:val="00FA402A"/>
    <w:rsid w:val="00FA69EB"/>
    <w:rsid w:val="00FA7ABA"/>
    <w:rsid w:val="00FB6CEA"/>
    <w:rsid w:val="00FB7ADB"/>
    <w:rsid w:val="00FC2EB1"/>
    <w:rsid w:val="00FC6C17"/>
    <w:rsid w:val="00FD1308"/>
    <w:rsid w:val="00FD6F5D"/>
    <w:rsid w:val="00FD7B28"/>
    <w:rsid w:val="00FE4DBB"/>
    <w:rsid w:val="00FF0CD2"/>
    <w:rsid w:val="00FF2998"/>
    <w:rsid w:val="00FF2B15"/>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A27"/>
    <w:pPr>
      <w:bidi/>
    </w:pPr>
  </w:style>
  <w:style w:type="paragraph" w:styleId="1">
    <w:name w:val="heading 1"/>
    <w:basedOn w:val="a"/>
    <w:next w:val="a"/>
    <w:link w:val="1Char"/>
    <w:uiPriority w:val="9"/>
    <w:qFormat/>
    <w:rsid w:val="00CD3C0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lang w:val="ru-RU"/>
    </w:rPr>
  </w:style>
  <w:style w:type="paragraph" w:styleId="2">
    <w:name w:val="heading 2"/>
    <w:basedOn w:val="a"/>
    <w:next w:val="a"/>
    <w:link w:val="2Char"/>
    <w:uiPriority w:val="9"/>
    <w:semiHidden/>
    <w:unhideWhenUsed/>
    <w:qFormat/>
    <w:rsid w:val="00CD3C0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lang w:val="ru-RU"/>
    </w:rPr>
  </w:style>
  <w:style w:type="paragraph" w:styleId="3">
    <w:name w:val="heading 3"/>
    <w:basedOn w:val="a"/>
    <w:next w:val="a"/>
    <w:link w:val="3Char"/>
    <w:uiPriority w:val="9"/>
    <w:semiHidden/>
    <w:unhideWhenUsed/>
    <w:qFormat/>
    <w:rsid w:val="00CD3C06"/>
    <w:pPr>
      <w:keepNext/>
      <w:keepLines/>
      <w:numPr>
        <w:ilvl w:val="2"/>
        <w:numId w:val="1"/>
      </w:numPr>
      <w:spacing w:before="200" w:after="0"/>
      <w:outlineLvl w:val="2"/>
    </w:pPr>
    <w:rPr>
      <w:rFonts w:asciiTheme="majorHAnsi" w:eastAsiaTheme="majorEastAsia" w:hAnsiTheme="majorHAnsi" w:cstheme="majorBidi"/>
      <w:b/>
      <w:bCs/>
      <w:color w:val="4F81BD" w:themeColor="accent1"/>
      <w:lang w:val="ru-RU"/>
    </w:rPr>
  </w:style>
  <w:style w:type="paragraph" w:styleId="4">
    <w:name w:val="heading 4"/>
    <w:basedOn w:val="a"/>
    <w:next w:val="a"/>
    <w:link w:val="4Char"/>
    <w:uiPriority w:val="9"/>
    <w:semiHidden/>
    <w:unhideWhenUsed/>
    <w:qFormat/>
    <w:rsid w:val="00CD3C06"/>
    <w:pPr>
      <w:keepNext/>
      <w:keepLines/>
      <w:numPr>
        <w:ilvl w:val="3"/>
        <w:numId w:val="1"/>
      </w:numPr>
      <w:spacing w:before="200" w:after="0"/>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Char"/>
    <w:uiPriority w:val="9"/>
    <w:semiHidden/>
    <w:unhideWhenUsed/>
    <w:qFormat/>
    <w:rsid w:val="00CD3C06"/>
    <w:pPr>
      <w:keepNext/>
      <w:keepLines/>
      <w:numPr>
        <w:ilvl w:val="4"/>
        <w:numId w:val="1"/>
      </w:numPr>
      <w:spacing w:before="200" w:after="0"/>
      <w:outlineLvl w:val="4"/>
    </w:pPr>
    <w:rPr>
      <w:rFonts w:asciiTheme="majorHAnsi" w:eastAsiaTheme="majorEastAsia" w:hAnsiTheme="majorHAnsi" w:cstheme="majorBidi"/>
      <w:color w:val="243F60" w:themeColor="accent1" w:themeShade="7F"/>
      <w:lang w:val="ru-RU"/>
    </w:rPr>
  </w:style>
  <w:style w:type="paragraph" w:styleId="6">
    <w:name w:val="heading 6"/>
    <w:basedOn w:val="a"/>
    <w:next w:val="a"/>
    <w:link w:val="6Char"/>
    <w:uiPriority w:val="9"/>
    <w:semiHidden/>
    <w:unhideWhenUsed/>
    <w:qFormat/>
    <w:rsid w:val="00CD3C0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val="ru-RU"/>
    </w:rPr>
  </w:style>
  <w:style w:type="paragraph" w:styleId="7">
    <w:name w:val="heading 7"/>
    <w:basedOn w:val="a"/>
    <w:next w:val="a"/>
    <w:link w:val="7Char"/>
    <w:uiPriority w:val="9"/>
    <w:semiHidden/>
    <w:unhideWhenUsed/>
    <w:qFormat/>
    <w:rsid w:val="00CD3C06"/>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ru-RU"/>
    </w:rPr>
  </w:style>
  <w:style w:type="paragraph" w:styleId="8">
    <w:name w:val="heading 8"/>
    <w:basedOn w:val="a"/>
    <w:next w:val="a"/>
    <w:link w:val="8Char"/>
    <w:uiPriority w:val="9"/>
    <w:semiHidden/>
    <w:unhideWhenUsed/>
    <w:qFormat/>
    <w:rsid w:val="00CD3C0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ru-RU"/>
    </w:rPr>
  </w:style>
  <w:style w:type="paragraph" w:styleId="9">
    <w:name w:val="heading 9"/>
    <w:basedOn w:val="a"/>
    <w:next w:val="a"/>
    <w:link w:val="9Char"/>
    <w:uiPriority w:val="9"/>
    <w:semiHidden/>
    <w:unhideWhenUsed/>
    <w:qFormat/>
    <w:rsid w:val="00CD3C06"/>
    <w:pPr>
      <w:keepNext/>
      <w:keepLines/>
      <w:spacing w:before="200" w:after="0"/>
      <w:ind w:left="5760"/>
      <w:outlineLvl w:val="8"/>
    </w:pPr>
    <w:rPr>
      <w:rFonts w:asciiTheme="majorHAnsi" w:eastAsiaTheme="majorEastAsia" w:hAnsiTheme="majorHAnsi" w:cstheme="majorBidi"/>
      <w:i/>
      <w:iCs/>
      <w:color w:val="404040" w:themeColor="text1" w:themeTint="BF"/>
      <w:sz w:val="20"/>
      <w:szCs w:val="20"/>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Char Char Char Char,Char Char Char Char Char Char,Char Char Char Char Char Char Char Char,Char,Char Char Char,Char Char,نص حاشية سفلية5,نص حاشية سفلية12,Footnote Text Char Char Char42,نص حاشية سفلية1 Char72, Char Char Char Char, Char Char"/>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Char Char Char Char Char,Char Char Char Char Char Char Char,Char Char Char Char Char Char Char Char Char,Char Char1,Char Char Char Char1,Char Char Char1,نص حاشية سفلية5 Char,نص حاشية سفلية12 Char,Footnote Text Char Char Char42 Char"/>
    <w:basedOn w:val="a0"/>
    <w:link w:val="a3"/>
    <w:uiPriority w:val="99"/>
    <w:rsid w:val="00384B31"/>
    <w:rPr>
      <w:sz w:val="20"/>
      <w:szCs w:val="20"/>
    </w:rPr>
  </w:style>
  <w:style w:type="character" w:styleId="a4">
    <w:name w:val="footnote reference"/>
    <w:basedOn w:val="a0"/>
    <w:uiPriority w:val="99"/>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character" w:customStyle="1" w:styleId="1Char">
    <w:name w:val="عنوان 1 Char"/>
    <w:basedOn w:val="a0"/>
    <w:link w:val="1"/>
    <w:uiPriority w:val="9"/>
    <w:rsid w:val="00CD3C06"/>
    <w:rPr>
      <w:rFonts w:asciiTheme="majorHAnsi" w:eastAsiaTheme="majorEastAsia" w:hAnsiTheme="majorHAnsi" w:cstheme="majorBidi"/>
      <w:b/>
      <w:bCs/>
      <w:color w:val="365F91" w:themeColor="accent1" w:themeShade="BF"/>
      <w:sz w:val="28"/>
      <w:szCs w:val="28"/>
      <w:lang w:val="ru-RU"/>
    </w:rPr>
  </w:style>
  <w:style w:type="character" w:customStyle="1" w:styleId="2Char">
    <w:name w:val="عنوان 2 Char"/>
    <w:basedOn w:val="a0"/>
    <w:link w:val="2"/>
    <w:uiPriority w:val="9"/>
    <w:semiHidden/>
    <w:rsid w:val="00CD3C06"/>
    <w:rPr>
      <w:rFonts w:asciiTheme="majorHAnsi" w:eastAsiaTheme="majorEastAsia" w:hAnsiTheme="majorHAnsi" w:cstheme="majorBidi"/>
      <w:b/>
      <w:bCs/>
      <w:color w:val="4F81BD" w:themeColor="accent1"/>
      <w:sz w:val="26"/>
      <w:szCs w:val="26"/>
      <w:lang w:val="ru-RU"/>
    </w:rPr>
  </w:style>
  <w:style w:type="character" w:customStyle="1" w:styleId="3Char">
    <w:name w:val="عنوان 3 Char"/>
    <w:basedOn w:val="a0"/>
    <w:link w:val="3"/>
    <w:uiPriority w:val="9"/>
    <w:semiHidden/>
    <w:rsid w:val="00CD3C06"/>
    <w:rPr>
      <w:rFonts w:asciiTheme="majorHAnsi" w:eastAsiaTheme="majorEastAsia" w:hAnsiTheme="majorHAnsi" w:cstheme="majorBidi"/>
      <w:b/>
      <w:bCs/>
      <w:color w:val="4F81BD" w:themeColor="accent1"/>
      <w:lang w:val="ru-RU"/>
    </w:rPr>
  </w:style>
  <w:style w:type="character" w:customStyle="1" w:styleId="4Char">
    <w:name w:val="عنوان 4 Char"/>
    <w:basedOn w:val="a0"/>
    <w:link w:val="4"/>
    <w:uiPriority w:val="9"/>
    <w:semiHidden/>
    <w:rsid w:val="00CD3C06"/>
    <w:rPr>
      <w:rFonts w:asciiTheme="majorHAnsi" w:eastAsiaTheme="majorEastAsia" w:hAnsiTheme="majorHAnsi" w:cstheme="majorBidi"/>
      <w:b/>
      <w:bCs/>
      <w:i/>
      <w:iCs/>
      <w:color w:val="4F81BD" w:themeColor="accent1"/>
      <w:lang w:val="ru-RU"/>
    </w:rPr>
  </w:style>
  <w:style w:type="character" w:customStyle="1" w:styleId="5Char">
    <w:name w:val="عنوان 5 Char"/>
    <w:basedOn w:val="a0"/>
    <w:link w:val="5"/>
    <w:uiPriority w:val="9"/>
    <w:semiHidden/>
    <w:rsid w:val="00CD3C06"/>
    <w:rPr>
      <w:rFonts w:asciiTheme="majorHAnsi" w:eastAsiaTheme="majorEastAsia" w:hAnsiTheme="majorHAnsi" w:cstheme="majorBidi"/>
      <w:color w:val="243F60" w:themeColor="accent1" w:themeShade="7F"/>
      <w:lang w:val="ru-RU"/>
    </w:rPr>
  </w:style>
  <w:style w:type="character" w:customStyle="1" w:styleId="6Char">
    <w:name w:val="عنوان 6 Char"/>
    <w:basedOn w:val="a0"/>
    <w:link w:val="6"/>
    <w:uiPriority w:val="9"/>
    <w:semiHidden/>
    <w:rsid w:val="00CD3C06"/>
    <w:rPr>
      <w:rFonts w:asciiTheme="majorHAnsi" w:eastAsiaTheme="majorEastAsia" w:hAnsiTheme="majorHAnsi" w:cstheme="majorBidi"/>
      <w:i/>
      <w:iCs/>
      <w:color w:val="243F60" w:themeColor="accent1" w:themeShade="7F"/>
      <w:lang w:val="ru-RU"/>
    </w:rPr>
  </w:style>
  <w:style w:type="character" w:customStyle="1" w:styleId="7Char">
    <w:name w:val="عنوان 7 Char"/>
    <w:basedOn w:val="a0"/>
    <w:link w:val="7"/>
    <w:uiPriority w:val="9"/>
    <w:semiHidden/>
    <w:rsid w:val="00CD3C06"/>
    <w:rPr>
      <w:rFonts w:asciiTheme="majorHAnsi" w:eastAsiaTheme="majorEastAsia" w:hAnsiTheme="majorHAnsi" w:cstheme="majorBidi"/>
      <w:i/>
      <w:iCs/>
      <w:color w:val="404040" w:themeColor="text1" w:themeTint="BF"/>
      <w:lang w:val="ru-RU"/>
    </w:rPr>
  </w:style>
  <w:style w:type="character" w:customStyle="1" w:styleId="8Char">
    <w:name w:val="عنوان 8 Char"/>
    <w:basedOn w:val="a0"/>
    <w:link w:val="8"/>
    <w:uiPriority w:val="9"/>
    <w:semiHidden/>
    <w:rsid w:val="00CD3C06"/>
    <w:rPr>
      <w:rFonts w:asciiTheme="majorHAnsi" w:eastAsiaTheme="majorEastAsia" w:hAnsiTheme="majorHAnsi" w:cstheme="majorBidi"/>
      <w:color w:val="404040" w:themeColor="text1" w:themeTint="BF"/>
      <w:sz w:val="20"/>
      <w:szCs w:val="20"/>
      <w:lang w:val="ru-RU"/>
    </w:rPr>
  </w:style>
  <w:style w:type="character" w:customStyle="1" w:styleId="9Char">
    <w:name w:val="عنوان 9 Char"/>
    <w:basedOn w:val="a0"/>
    <w:link w:val="9"/>
    <w:uiPriority w:val="9"/>
    <w:semiHidden/>
    <w:rsid w:val="00CD3C06"/>
    <w:rPr>
      <w:rFonts w:asciiTheme="majorHAnsi" w:eastAsiaTheme="majorEastAsia" w:hAnsiTheme="majorHAnsi" w:cstheme="majorBidi"/>
      <w:i/>
      <w:iCs/>
      <w:color w:val="404040" w:themeColor="text1" w:themeTint="BF"/>
      <w:sz w:val="20"/>
      <w:szCs w:val="20"/>
      <w:lang w:val="ru-RU"/>
    </w:rPr>
  </w:style>
  <w:style w:type="paragraph" w:customStyle="1" w:styleId="ac">
    <w:name w:val="رئيسي"/>
    <w:basedOn w:val="a"/>
    <w:link w:val="Char4"/>
    <w:qFormat/>
    <w:rsid w:val="00CD3C06"/>
    <w:pPr>
      <w:tabs>
        <w:tab w:val="left" w:pos="3551"/>
        <w:tab w:val="center" w:pos="4153"/>
      </w:tabs>
      <w:spacing w:after="0" w:line="240" w:lineRule="auto"/>
      <w:jc w:val="center"/>
    </w:pPr>
    <w:rPr>
      <w:rFonts w:asciiTheme="majorBidi" w:hAnsiTheme="majorBidi" w:cstheme="majorBidi"/>
      <w:b/>
      <w:bCs/>
      <w:sz w:val="32"/>
      <w:szCs w:val="32"/>
      <w:lang w:val="ru-RU"/>
    </w:rPr>
  </w:style>
  <w:style w:type="paragraph" w:customStyle="1" w:styleId="ad">
    <w:name w:val="ثانوي"/>
    <w:basedOn w:val="a"/>
    <w:link w:val="Char5"/>
    <w:qFormat/>
    <w:rsid w:val="00CD3C06"/>
    <w:pPr>
      <w:spacing w:after="0" w:line="240" w:lineRule="auto"/>
      <w:jc w:val="center"/>
    </w:pPr>
    <w:rPr>
      <w:rFonts w:asciiTheme="majorBidi" w:hAnsiTheme="majorBidi" w:cstheme="majorBidi"/>
      <w:b/>
      <w:bCs/>
      <w:sz w:val="28"/>
      <w:szCs w:val="28"/>
      <w:lang w:val="ru-RU" w:bidi="ar-IQ"/>
    </w:rPr>
  </w:style>
  <w:style w:type="character" w:customStyle="1" w:styleId="Char4">
    <w:name w:val="رئيسي Char"/>
    <w:basedOn w:val="a0"/>
    <w:link w:val="ac"/>
    <w:rsid w:val="00CD3C06"/>
    <w:rPr>
      <w:rFonts w:asciiTheme="majorBidi" w:hAnsiTheme="majorBidi" w:cstheme="majorBidi"/>
      <w:b/>
      <w:bCs/>
      <w:sz w:val="32"/>
      <w:szCs w:val="32"/>
      <w:lang w:val="ru-RU"/>
    </w:rPr>
  </w:style>
  <w:style w:type="paragraph" w:styleId="11">
    <w:name w:val="toc 1"/>
    <w:basedOn w:val="a"/>
    <w:next w:val="a"/>
    <w:autoRedefine/>
    <w:uiPriority w:val="39"/>
    <w:unhideWhenUsed/>
    <w:rsid w:val="00CD3C06"/>
    <w:pPr>
      <w:spacing w:after="100"/>
    </w:pPr>
    <w:rPr>
      <w:lang w:val="ru-RU"/>
    </w:rPr>
  </w:style>
  <w:style w:type="character" w:customStyle="1" w:styleId="Char5">
    <w:name w:val="ثانوي Char"/>
    <w:basedOn w:val="a0"/>
    <w:link w:val="ad"/>
    <w:rsid w:val="00CD3C06"/>
    <w:rPr>
      <w:rFonts w:asciiTheme="majorBidi" w:hAnsiTheme="majorBidi" w:cstheme="majorBidi"/>
      <w:b/>
      <w:bCs/>
      <w:sz w:val="28"/>
      <w:szCs w:val="28"/>
      <w:lang w:val="ru-RU" w:bidi="ar-IQ"/>
    </w:rPr>
  </w:style>
  <w:style w:type="paragraph" w:styleId="20">
    <w:name w:val="toc 2"/>
    <w:basedOn w:val="a"/>
    <w:next w:val="a"/>
    <w:autoRedefine/>
    <w:uiPriority w:val="39"/>
    <w:unhideWhenUsed/>
    <w:rsid w:val="00CD3C06"/>
    <w:pPr>
      <w:spacing w:after="100"/>
      <w:ind w:left="220"/>
    </w:pPr>
    <w:rPr>
      <w:lang w:val="ru-RU"/>
    </w:rPr>
  </w:style>
  <w:style w:type="paragraph" w:customStyle="1" w:styleId="footnotedescription">
    <w:name w:val="footnote description"/>
    <w:next w:val="a"/>
    <w:link w:val="footnotedescriptionChar"/>
    <w:hidden/>
    <w:rsid w:val="00A0517A"/>
    <w:pPr>
      <w:spacing w:after="220" w:line="259" w:lineRule="auto"/>
      <w:ind w:left="327"/>
      <w:jc w:val="right"/>
    </w:pPr>
    <w:rPr>
      <w:rFonts w:ascii="Simplified Arabic" w:eastAsia="Simplified Arabic" w:hAnsi="Simplified Arabic" w:cs="Simplified Arabic"/>
      <w:color w:val="000000"/>
    </w:rPr>
  </w:style>
  <w:style w:type="character" w:customStyle="1" w:styleId="footnotedescriptionChar">
    <w:name w:val="footnote description Char"/>
    <w:link w:val="footnotedescription"/>
    <w:rsid w:val="00A0517A"/>
    <w:rPr>
      <w:rFonts w:ascii="Simplified Arabic" w:eastAsia="Simplified Arabic" w:hAnsi="Simplified Arabic" w:cs="Simplified Arabic"/>
      <w:color w:val="000000"/>
    </w:rPr>
  </w:style>
  <w:style w:type="character" w:customStyle="1" w:styleId="footnotemark">
    <w:name w:val="footnote mark"/>
    <w:hidden/>
    <w:rsid w:val="00A0517A"/>
    <w:rPr>
      <w:rFonts w:ascii="Calibri" w:eastAsia="Calibri" w:hAnsi="Calibri" w:cs="Calibri"/>
      <w:color w:val="000000"/>
      <w:sz w:val="22"/>
      <w:vertAlign w:val="superscript"/>
    </w:rPr>
  </w:style>
  <w:style w:type="paragraph" w:customStyle="1" w:styleId="12">
    <w:name w:val="بلا تباعد1"/>
    <w:next w:val="ab"/>
    <w:link w:val="Char6"/>
    <w:uiPriority w:val="1"/>
    <w:qFormat/>
    <w:rsid w:val="00DF54A4"/>
    <w:pPr>
      <w:bidi/>
      <w:spacing w:after="0" w:line="240" w:lineRule="auto"/>
    </w:pPr>
    <w:rPr>
      <w:rFonts w:ascii="Calibri" w:eastAsia="Calibri" w:hAnsi="Calibri" w:cs="Arial"/>
    </w:rPr>
  </w:style>
  <w:style w:type="character" w:customStyle="1" w:styleId="Char6">
    <w:name w:val="بلا تباعد Char"/>
    <w:basedOn w:val="a0"/>
    <w:link w:val="12"/>
    <w:uiPriority w:val="1"/>
    <w:rsid w:val="00DF54A4"/>
    <w:rPr>
      <w:rFonts w:ascii="Calibri" w:eastAsia="Calibri" w:hAnsi="Calibri" w:cs="Arial"/>
    </w:rPr>
  </w:style>
  <w:style w:type="numbering" w:customStyle="1" w:styleId="13">
    <w:name w:val="بلا قائمة1"/>
    <w:next w:val="a2"/>
    <w:uiPriority w:val="99"/>
    <w:semiHidden/>
    <w:unhideWhenUsed/>
    <w:rsid w:val="00ED268B"/>
  </w:style>
  <w:style w:type="character" w:customStyle="1" w:styleId="Char10">
    <w:name w:val="نص حاشية سفلية Char1"/>
    <w:basedOn w:val="a0"/>
    <w:uiPriority w:val="99"/>
    <w:rsid w:val="0009377B"/>
    <w:rPr>
      <w:sz w:val="20"/>
      <w:szCs w:val="20"/>
    </w:rPr>
  </w:style>
  <w:style w:type="character" w:customStyle="1" w:styleId="Char11">
    <w:name w:val="نص تعليق ختامي Char1"/>
    <w:basedOn w:val="a0"/>
    <w:uiPriority w:val="99"/>
    <w:semiHidden/>
    <w:rsid w:val="000937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Law5mas15@utq.edu.iq" TargetMode="External"/><Relationship Id="rId4" Type="http://schemas.microsoft.com/office/2007/relationships/stylesWithEffects" Target="stylesWithEffects.xml"/><Relationship Id="rId9" Type="http://schemas.openxmlformats.org/officeDocument/2006/relationships/hyperlink" Target="mailto:Lawp1e212@utq.edq.iq"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11EA8-6F93-49A0-9EC5-929E3A0E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2392</TotalTime>
  <Pages>24</Pages>
  <Words>8976</Words>
  <Characters>51167</Characters>
  <Application>Microsoft Office Word</Application>
  <DocSecurity>0</DocSecurity>
  <Lines>426</Lines>
  <Paragraphs>120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88</cp:revision>
  <cp:lastPrinted>2023-06-12T22:08:00Z</cp:lastPrinted>
  <dcterms:created xsi:type="dcterms:W3CDTF">2022-06-07T06:04:00Z</dcterms:created>
  <dcterms:modified xsi:type="dcterms:W3CDTF">2023-06-12T22:13:00Z</dcterms:modified>
</cp:coreProperties>
</file>